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5C7D2" w14:textId="77777777" w:rsidR="00FF5197" w:rsidRPr="00147D7E" w:rsidRDefault="00CC506E">
      <w:pPr>
        <w:rPr>
          <w:rFonts w:eastAsia="Times New Roman" w:cstheme="minorHAnsi"/>
          <w:b/>
          <w:bCs/>
          <w:kern w:val="36"/>
          <w:sz w:val="24"/>
          <w:szCs w:val="24"/>
          <w:u w:val="single"/>
          <w:lang w:eastAsia="pt-BR"/>
        </w:rPr>
      </w:pPr>
      <w:r w:rsidRPr="00147D7E">
        <w:rPr>
          <w:rFonts w:eastAsia="Times New Roman" w:cstheme="minorHAnsi"/>
          <w:b/>
          <w:bCs/>
          <w:kern w:val="36"/>
          <w:sz w:val="24"/>
          <w:szCs w:val="24"/>
          <w:u w:val="single"/>
          <w:lang w:eastAsia="pt-BR"/>
        </w:rPr>
        <w:t>Justificativa Técnica</w:t>
      </w:r>
    </w:p>
    <w:p w14:paraId="40BF77AA" w14:textId="77777777" w:rsidR="00CC506E" w:rsidRPr="00147D7E" w:rsidRDefault="00CC506E">
      <w:pPr>
        <w:rPr>
          <w:rFonts w:eastAsia="Times New Roman" w:cstheme="minorHAnsi"/>
          <w:b/>
          <w:bCs/>
          <w:kern w:val="36"/>
          <w:sz w:val="24"/>
          <w:szCs w:val="24"/>
          <w:u w:val="single"/>
          <w:lang w:eastAsia="pt-BR"/>
        </w:rPr>
      </w:pPr>
    </w:p>
    <w:p w14:paraId="0C5E8D54" w14:textId="285C5357" w:rsidR="00CC506E" w:rsidRPr="00147D7E" w:rsidRDefault="00CC506E">
      <w:pPr>
        <w:rPr>
          <w:rFonts w:eastAsia="Times New Roman" w:cstheme="minorHAnsi"/>
          <w:bCs/>
          <w:kern w:val="36"/>
          <w:sz w:val="24"/>
          <w:szCs w:val="24"/>
          <w:lang w:eastAsia="pt-BR"/>
        </w:rPr>
      </w:pPr>
      <w:r w:rsidRPr="00147D7E">
        <w:rPr>
          <w:rFonts w:eastAsia="Times New Roman" w:cstheme="minorHAnsi"/>
          <w:b/>
          <w:bCs/>
          <w:kern w:val="36"/>
          <w:sz w:val="24"/>
          <w:szCs w:val="24"/>
          <w:lang w:eastAsia="pt-BR"/>
        </w:rPr>
        <w:t>Assunto:</w:t>
      </w:r>
      <w:r w:rsidR="009352B4" w:rsidRPr="00147D7E">
        <w:rPr>
          <w:rFonts w:eastAsia="Times New Roman" w:cstheme="minorHAnsi"/>
          <w:b/>
          <w:bCs/>
          <w:kern w:val="36"/>
          <w:sz w:val="24"/>
          <w:szCs w:val="24"/>
          <w:lang w:eastAsia="pt-BR"/>
        </w:rPr>
        <w:t xml:space="preserve"> </w:t>
      </w:r>
      <w:r w:rsidR="00B441EB" w:rsidRPr="00147D7E">
        <w:rPr>
          <w:rFonts w:eastAsia="Times New Roman" w:cstheme="minorHAnsi"/>
          <w:bCs/>
          <w:kern w:val="36"/>
          <w:sz w:val="24"/>
          <w:szCs w:val="24"/>
          <w:lang w:eastAsia="pt-BR"/>
        </w:rPr>
        <w:t>Instauração de Processo Licitatório</w:t>
      </w:r>
    </w:p>
    <w:p w14:paraId="6F773924" w14:textId="66010824" w:rsidR="00CC506E" w:rsidRPr="00147D7E" w:rsidRDefault="00CC506E" w:rsidP="003157E1">
      <w:pPr>
        <w:spacing w:after="0" w:line="240" w:lineRule="auto"/>
        <w:jc w:val="both"/>
        <w:rPr>
          <w:rFonts w:eastAsia="Times New Roman" w:cstheme="minorHAnsi"/>
          <w:bCs/>
          <w:kern w:val="36"/>
          <w:sz w:val="24"/>
          <w:szCs w:val="24"/>
          <w:lang w:eastAsia="pt-BR"/>
        </w:rPr>
      </w:pPr>
      <w:r w:rsidRPr="00147D7E">
        <w:rPr>
          <w:rFonts w:eastAsia="Times New Roman" w:cstheme="minorHAnsi"/>
          <w:b/>
          <w:bCs/>
          <w:kern w:val="36"/>
          <w:sz w:val="24"/>
          <w:szCs w:val="24"/>
          <w:lang w:eastAsia="pt-BR"/>
        </w:rPr>
        <w:t xml:space="preserve">Objeto: </w:t>
      </w:r>
      <w:r w:rsidR="0069638F">
        <w:rPr>
          <w:rFonts w:cstheme="minorHAnsi"/>
          <w:color w:val="000000"/>
          <w:sz w:val="24"/>
          <w:szCs w:val="24"/>
        </w:rPr>
        <w:t>CONSTRUÇÃO DE QUADRAS COBERTAS COM ARQUIBANCADA EM DIVERSOS DISTRITOS DO MUNICÍPIO DE AFRÂNIO/PE</w:t>
      </w:r>
      <w:r w:rsidR="002319B7">
        <w:rPr>
          <w:rFonts w:cstheme="minorHAnsi"/>
          <w:color w:val="000000"/>
          <w:sz w:val="24"/>
          <w:szCs w:val="24"/>
        </w:rPr>
        <w:t xml:space="preserve">.  </w:t>
      </w:r>
    </w:p>
    <w:p w14:paraId="60FA5195" w14:textId="77777777" w:rsidR="00AC052F" w:rsidRPr="00147D7E" w:rsidRDefault="00AC052F" w:rsidP="00D571A1">
      <w:pPr>
        <w:spacing w:after="0" w:line="360" w:lineRule="auto"/>
        <w:rPr>
          <w:rFonts w:eastAsia="Times New Roman" w:cstheme="minorHAnsi"/>
          <w:bCs/>
          <w:kern w:val="36"/>
          <w:lang w:eastAsia="pt-BR"/>
        </w:rPr>
      </w:pPr>
    </w:p>
    <w:p w14:paraId="4BD7FB56" w14:textId="0B494226" w:rsidR="00FF5197" w:rsidRPr="00147D7E" w:rsidRDefault="00D63449" w:rsidP="00D571A1">
      <w:pPr>
        <w:spacing w:after="0" w:line="360" w:lineRule="auto"/>
        <w:jc w:val="right"/>
        <w:rPr>
          <w:rFonts w:eastAsia="Times New Roman" w:cstheme="minorHAnsi"/>
          <w:b/>
          <w:bCs/>
          <w:kern w:val="36"/>
          <w:lang w:eastAsia="pt-BR"/>
        </w:rPr>
      </w:pPr>
      <w:r w:rsidRPr="00147D7E">
        <w:rPr>
          <w:rFonts w:eastAsia="Times New Roman" w:cstheme="minorHAnsi"/>
          <w:b/>
          <w:bCs/>
          <w:kern w:val="36"/>
          <w:lang w:eastAsia="pt-BR"/>
        </w:rPr>
        <w:t>Afrânio</w:t>
      </w:r>
      <w:r w:rsidR="009352B4" w:rsidRPr="00147D7E">
        <w:rPr>
          <w:rFonts w:eastAsia="Times New Roman" w:cstheme="minorHAnsi"/>
          <w:b/>
          <w:bCs/>
          <w:kern w:val="36"/>
          <w:lang w:eastAsia="pt-BR"/>
        </w:rPr>
        <w:t xml:space="preserve">, </w:t>
      </w:r>
      <w:r w:rsidR="00B849EC">
        <w:rPr>
          <w:rFonts w:eastAsia="Times New Roman" w:cstheme="minorHAnsi"/>
          <w:b/>
          <w:bCs/>
          <w:kern w:val="36"/>
          <w:lang w:eastAsia="pt-BR"/>
        </w:rPr>
        <w:t>29</w:t>
      </w:r>
      <w:r w:rsidR="009352B4" w:rsidRPr="00147D7E">
        <w:rPr>
          <w:rFonts w:eastAsia="Times New Roman" w:cstheme="minorHAnsi"/>
          <w:b/>
          <w:bCs/>
          <w:kern w:val="36"/>
          <w:lang w:eastAsia="pt-BR"/>
        </w:rPr>
        <w:t xml:space="preserve"> de </w:t>
      </w:r>
      <w:r w:rsidR="00B849EC">
        <w:rPr>
          <w:rFonts w:eastAsia="Times New Roman" w:cstheme="minorHAnsi"/>
          <w:b/>
          <w:bCs/>
          <w:kern w:val="36"/>
          <w:lang w:eastAsia="pt-BR"/>
        </w:rPr>
        <w:t>agosto</w:t>
      </w:r>
      <w:r w:rsidR="00FF5197" w:rsidRPr="00147D7E">
        <w:rPr>
          <w:rFonts w:eastAsia="Times New Roman" w:cstheme="minorHAnsi"/>
          <w:b/>
          <w:bCs/>
          <w:kern w:val="36"/>
          <w:lang w:eastAsia="pt-BR"/>
        </w:rPr>
        <w:t xml:space="preserve"> de </w:t>
      </w:r>
      <w:r w:rsidR="00FF057B" w:rsidRPr="00147D7E">
        <w:rPr>
          <w:rFonts w:eastAsia="Times New Roman" w:cstheme="minorHAnsi"/>
          <w:b/>
          <w:bCs/>
          <w:kern w:val="36"/>
          <w:lang w:eastAsia="pt-BR"/>
        </w:rPr>
        <w:t>202</w:t>
      </w:r>
      <w:r w:rsidR="006A604F">
        <w:rPr>
          <w:rFonts w:eastAsia="Times New Roman" w:cstheme="minorHAnsi"/>
          <w:b/>
          <w:bCs/>
          <w:kern w:val="36"/>
          <w:lang w:eastAsia="pt-BR"/>
        </w:rPr>
        <w:t>4</w:t>
      </w:r>
    </w:p>
    <w:p w14:paraId="0FE6F939" w14:textId="77777777" w:rsidR="00AC052F" w:rsidRPr="00147D7E" w:rsidRDefault="00AC052F" w:rsidP="00D571A1">
      <w:pPr>
        <w:spacing w:after="0" w:line="360" w:lineRule="auto"/>
        <w:jc w:val="right"/>
        <w:rPr>
          <w:rFonts w:eastAsia="Times New Roman" w:cstheme="minorHAnsi"/>
          <w:b/>
          <w:bCs/>
          <w:kern w:val="36"/>
          <w:lang w:eastAsia="pt-BR"/>
        </w:rPr>
      </w:pPr>
    </w:p>
    <w:p w14:paraId="1C21E733" w14:textId="4FA975B0" w:rsidR="001F0464" w:rsidRPr="00147D7E" w:rsidRDefault="00E82832" w:rsidP="00620DD7">
      <w:pPr>
        <w:autoSpaceDE w:val="0"/>
        <w:autoSpaceDN w:val="0"/>
        <w:adjustRightInd w:val="0"/>
        <w:spacing w:after="0" w:line="240" w:lineRule="auto"/>
        <w:jc w:val="both"/>
        <w:rPr>
          <w:rFonts w:eastAsia="Times New Roman" w:cstheme="minorHAnsi"/>
          <w:bCs/>
          <w:kern w:val="36"/>
          <w:lang w:eastAsia="pt-BR"/>
        </w:rPr>
      </w:pPr>
      <w:r w:rsidRPr="00147D7E">
        <w:rPr>
          <w:rFonts w:cstheme="minorHAnsi"/>
        </w:rPr>
        <w:tab/>
      </w:r>
      <w:r w:rsidR="00B441EB" w:rsidRPr="00147D7E">
        <w:rPr>
          <w:rFonts w:cstheme="minorHAnsi"/>
        </w:rPr>
        <w:t>Venho através deste trazer esclarecimentos acerca da necessidade técnica que fundamenta a solicitação da instauração de processo licitatório para “</w:t>
      </w:r>
      <w:r w:rsidR="003157E1" w:rsidRPr="00147D7E">
        <w:rPr>
          <w:rFonts w:cstheme="minorHAnsi"/>
          <w:color w:val="000000"/>
        </w:rPr>
        <w:t xml:space="preserve">Contratação de empresa especializada para a prestação de serviços de engenharia relativos </w:t>
      </w:r>
      <w:r w:rsidR="0069638F">
        <w:rPr>
          <w:rFonts w:cstheme="minorHAnsi"/>
          <w:color w:val="000000"/>
        </w:rPr>
        <w:t>à</w:t>
      </w:r>
      <w:r w:rsidR="00DA2CC1" w:rsidRPr="00147D7E">
        <w:rPr>
          <w:rFonts w:cstheme="minorHAnsi"/>
          <w:color w:val="000000"/>
        </w:rPr>
        <w:t xml:space="preserve"> </w:t>
      </w:r>
      <w:r w:rsidR="0069638F">
        <w:rPr>
          <w:rFonts w:cstheme="minorHAnsi"/>
          <w:b/>
          <w:bCs/>
          <w:color w:val="000000"/>
          <w:u w:val="single"/>
        </w:rPr>
        <w:t>CONSTRUÇÃO DE QUADRAS COBERTAS COM ARQUIBANCADA EM DIVERSOS DISTRITOS DO MUNICÍPIO DE AFRÂNIO/PE</w:t>
      </w:r>
      <w:r w:rsidR="00F50F62">
        <w:rPr>
          <w:rFonts w:cstheme="minorHAnsi"/>
          <w:b/>
          <w:bCs/>
          <w:color w:val="000000"/>
          <w:u w:val="single"/>
        </w:rPr>
        <w:t>”.</w:t>
      </w:r>
    </w:p>
    <w:p w14:paraId="5F6520E1" w14:textId="77777777" w:rsidR="00070F06" w:rsidRPr="00147D7E" w:rsidRDefault="00070F06" w:rsidP="00926BE0">
      <w:pPr>
        <w:autoSpaceDE w:val="0"/>
        <w:autoSpaceDN w:val="0"/>
        <w:adjustRightInd w:val="0"/>
        <w:spacing w:after="0" w:line="240" w:lineRule="auto"/>
        <w:jc w:val="both"/>
        <w:rPr>
          <w:rFonts w:cstheme="minorHAnsi"/>
        </w:rPr>
      </w:pPr>
    </w:p>
    <w:p w14:paraId="2EF62885" w14:textId="5926F9AE" w:rsidR="00AC052F" w:rsidRDefault="00AC052F" w:rsidP="00BE3863">
      <w:pPr>
        <w:pStyle w:val="Ttulo3"/>
      </w:pPr>
      <w:r w:rsidRPr="00147D7E">
        <w:t>1. INSTAURAÇÃO DE PROCESSO LICITATÓRIO</w:t>
      </w:r>
    </w:p>
    <w:p w14:paraId="4F9A669F" w14:textId="77777777" w:rsidR="0069638F" w:rsidRPr="0069638F" w:rsidRDefault="0069638F" w:rsidP="0069638F"/>
    <w:p w14:paraId="2C97FD05" w14:textId="40679245" w:rsidR="00A95800" w:rsidRPr="00147D7E" w:rsidRDefault="00AC052F" w:rsidP="00620DD7">
      <w:pPr>
        <w:spacing w:after="0" w:line="240" w:lineRule="auto"/>
        <w:jc w:val="both"/>
        <w:rPr>
          <w:rFonts w:cstheme="minorHAnsi"/>
          <w:bCs/>
        </w:rPr>
      </w:pPr>
      <w:r w:rsidRPr="00147D7E">
        <w:rPr>
          <w:rFonts w:cstheme="minorHAnsi"/>
          <w:b/>
        </w:rPr>
        <w:tab/>
      </w:r>
      <w:r w:rsidR="001B5649" w:rsidRPr="00147D7E">
        <w:rPr>
          <w:rFonts w:cstheme="minorHAnsi"/>
          <w:bCs/>
        </w:rPr>
        <w:t xml:space="preserve">O processo licitatório terá como objeto a </w:t>
      </w:r>
      <w:r w:rsidR="003157E1" w:rsidRPr="00147D7E">
        <w:rPr>
          <w:rFonts w:cstheme="minorHAnsi"/>
          <w:color w:val="000000"/>
        </w:rPr>
        <w:t>Contratação de empresa especializada para a prestação de serviços de engenharia</w:t>
      </w:r>
      <w:r w:rsidR="0069638F">
        <w:rPr>
          <w:rFonts w:cstheme="minorHAnsi"/>
          <w:color w:val="000000"/>
        </w:rPr>
        <w:t xml:space="preserve"> relativos</w:t>
      </w:r>
      <w:r w:rsidR="003157E1" w:rsidRPr="00147D7E">
        <w:rPr>
          <w:rFonts w:cstheme="minorHAnsi"/>
          <w:color w:val="000000"/>
        </w:rPr>
        <w:t xml:space="preserve"> </w:t>
      </w:r>
      <w:r w:rsidR="0069638F">
        <w:rPr>
          <w:rFonts w:cstheme="minorHAnsi"/>
          <w:color w:val="000000"/>
        </w:rPr>
        <w:t>à</w:t>
      </w:r>
      <w:r w:rsidR="0069638F" w:rsidRPr="00147D7E">
        <w:rPr>
          <w:rFonts w:cstheme="minorHAnsi"/>
          <w:color w:val="000000"/>
        </w:rPr>
        <w:t xml:space="preserve"> </w:t>
      </w:r>
      <w:r w:rsidR="0069638F">
        <w:rPr>
          <w:rFonts w:cstheme="minorHAnsi"/>
          <w:b/>
          <w:bCs/>
          <w:color w:val="000000"/>
          <w:u w:val="single"/>
        </w:rPr>
        <w:t>CONSTRUÇÃO DE QUADRAS COBERTAS COM ARQUIBANCADA EM DIVERSOS DISTRITOS DO MUNICÍPIO DE AFRÂNIO/PE</w:t>
      </w:r>
      <w:r w:rsidR="00B9447C" w:rsidRPr="00147D7E">
        <w:rPr>
          <w:rFonts w:eastAsia="Times New Roman" w:cstheme="minorHAnsi"/>
          <w:kern w:val="36"/>
        </w:rPr>
        <w:t xml:space="preserve">, encaixando-se como contratação para </w:t>
      </w:r>
      <w:r w:rsidR="00B9447C" w:rsidRPr="0069638F">
        <w:rPr>
          <w:rFonts w:eastAsia="Times New Roman" w:cstheme="minorHAnsi"/>
          <w:kern w:val="36"/>
          <w:u w:val="single"/>
        </w:rPr>
        <w:t>Obras e Serviços de Engenharia</w:t>
      </w:r>
      <w:r w:rsidR="00B9447C" w:rsidRPr="00147D7E">
        <w:rPr>
          <w:rFonts w:eastAsia="Times New Roman" w:cstheme="minorHAnsi"/>
          <w:kern w:val="36"/>
        </w:rPr>
        <w:t xml:space="preserve">, regida pela Lei </w:t>
      </w:r>
      <w:r w:rsidR="008131F7">
        <w:rPr>
          <w:rFonts w:eastAsia="Times New Roman" w:cstheme="minorHAnsi"/>
          <w:kern w:val="36"/>
        </w:rPr>
        <w:t>14</w:t>
      </w:r>
      <w:r w:rsidR="00B9447C" w:rsidRPr="00147D7E">
        <w:rPr>
          <w:rFonts w:eastAsia="Times New Roman" w:cstheme="minorHAnsi"/>
          <w:kern w:val="36"/>
        </w:rPr>
        <w:t>.</w:t>
      </w:r>
      <w:r w:rsidR="008131F7">
        <w:rPr>
          <w:rFonts w:eastAsia="Times New Roman" w:cstheme="minorHAnsi"/>
          <w:kern w:val="36"/>
        </w:rPr>
        <w:t>133</w:t>
      </w:r>
      <w:r w:rsidR="00B9447C" w:rsidRPr="00147D7E">
        <w:rPr>
          <w:rFonts w:eastAsia="Times New Roman" w:cstheme="minorHAnsi"/>
          <w:kern w:val="36"/>
        </w:rPr>
        <w:t>/</w:t>
      </w:r>
      <w:r w:rsidR="008131F7">
        <w:rPr>
          <w:rFonts w:eastAsia="Times New Roman" w:cstheme="minorHAnsi"/>
          <w:kern w:val="36"/>
        </w:rPr>
        <w:t>21</w:t>
      </w:r>
      <w:r w:rsidR="00B9447C" w:rsidRPr="00147D7E">
        <w:rPr>
          <w:rFonts w:eastAsia="Times New Roman" w:cstheme="minorHAnsi"/>
          <w:kern w:val="36"/>
        </w:rPr>
        <w:t>.</w:t>
      </w:r>
    </w:p>
    <w:p w14:paraId="0FF68A03" w14:textId="77777777" w:rsidR="00070F06" w:rsidRDefault="00070F06" w:rsidP="00926BE0">
      <w:pPr>
        <w:spacing w:after="0" w:line="240" w:lineRule="auto"/>
        <w:jc w:val="both"/>
        <w:rPr>
          <w:rFonts w:cstheme="minorHAnsi"/>
          <w:bCs/>
        </w:rPr>
      </w:pPr>
    </w:p>
    <w:p w14:paraId="46D5E21B" w14:textId="77777777" w:rsidR="002F2A30" w:rsidRPr="00147D7E" w:rsidRDefault="002F2A30" w:rsidP="00926BE0">
      <w:pPr>
        <w:spacing w:after="0" w:line="240" w:lineRule="auto"/>
        <w:jc w:val="both"/>
        <w:rPr>
          <w:rFonts w:cstheme="minorHAnsi"/>
          <w:bCs/>
        </w:rPr>
      </w:pPr>
    </w:p>
    <w:p w14:paraId="64DCABF6" w14:textId="79DBAF18" w:rsidR="00AC052F" w:rsidRDefault="00AC052F" w:rsidP="002F2A30">
      <w:pPr>
        <w:pStyle w:val="Ttulo3"/>
      </w:pPr>
      <w:r w:rsidRPr="00147D7E">
        <w:t xml:space="preserve">2. </w:t>
      </w:r>
      <w:r w:rsidR="00B871F9" w:rsidRPr="00147D7E">
        <w:t>DA FORMA</w:t>
      </w:r>
    </w:p>
    <w:p w14:paraId="5A091F3F" w14:textId="77777777" w:rsidR="0069638F" w:rsidRPr="0069638F" w:rsidRDefault="0069638F" w:rsidP="0069638F"/>
    <w:p w14:paraId="21E0302F" w14:textId="6ED1085D" w:rsidR="008275D6" w:rsidRPr="00147D7E" w:rsidRDefault="00F22794" w:rsidP="00620DD7">
      <w:pPr>
        <w:spacing w:after="0"/>
        <w:ind w:firstLine="708"/>
        <w:jc w:val="both"/>
        <w:rPr>
          <w:rFonts w:cstheme="minorHAnsi"/>
          <w:bCs/>
        </w:rPr>
      </w:pPr>
      <w:r w:rsidRPr="00147D7E">
        <w:rPr>
          <w:rFonts w:cstheme="minorHAnsi"/>
          <w:bCs/>
        </w:rPr>
        <w:t>Tratando-se de obras com etapas e quantitativos bem definidos, sugere-se que a instauração do processo licitatório se dê pelo critério de julgamento no regime de empreitada</w:t>
      </w:r>
      <w:r w:rsidR="0061448D">
        <w:rPr>
          <w:rFonts w:cstheme="minorHAnsi"/>
          <w:bCs/>
        </w:rPr>
        <w:t xml:space="preserve"> global</w:t>
      </w:r>
      <w:r w:rsidRPr="00147D7E">
        <w:rPr>
          <w:rFonts w:cstheme="minorHAnsi"/>
          <w:bCs/>
        </w:rPr>
        <w:t xml:space="preserve"> por preço </w:t>
      </w:r>
      <w:r w:rsidR="0061448D">
        <w:rPr>
          <w:rFonts w:cstheme="minorHAnsi"/>
          <w:bCs/>
        </w:rPr>
        <w:t>unitário</w:t>
      </w:r>
      <w:r w:rsidRPr="00147D7E">
        <w:rPr>
          <w:rFonts w:cstheme="minorHAnsi"/>
          <w:bCs/>
        </w:rPr>
        <w:t xml:space="preserve">, sempre observado a Lei </w:t>
      </w:r>
      <w:r w:rsidR="008131F7">
        <w:rPr>
          <w:rFonts w:cstheme="minorHAnsi"/>
          <w:bCs/>
        </w:rPr>
        <w:t>14.133/21</w:t>
      </w:r>
      <w:r w:rsidR="00B62227" w:rsidRPr="00147D7E">
        <w:rPr>
          <w:rFonts w:cstheme="minorHAnsi"/>
          <w:bCs/>
        </w:rPr>
        <w:t>.</w:t>
      </w:r>
      <w:r w:rsidR="00A90BF4" w:rsidRPr="00147D7E">
        <w:rPr>
          <w:rFonts w:cstheme="minorHAnsi"/>
          <w:bCs/>
        </w:rPr>
        <w:t xml:space="preserve"> </w:t>
      </w:r>
    </w:p>
    <w:p w14:paraId="50CA058F" w14:textId="06281814" w:rsidR="0069638F" w:rsidRPr="0069638F" w:rsidRDefault="0069638F" w:rsidP="0069638F">
      <w:pPr>
        <w:spacing w:after="0"/>
        <w:ind w:firstLine="708"/>
        <w:jc w:val="both"/>
        <w:rPr>
          <w:rFonts w:cstheme="minorHAnsi"/>
          <w:bCs/>
        </w:rPr>
      </w:pPr>
      <w:r>
        <w:rPr>
          <w:rFonts w:cstheme="minorHAnsi"/>
          <w:bCs/>
        </w:rPr>
        <w:t>Sugere-se que o</w:t>
      </w:r>
      <w:r w:rsidRPr="0069638F">
        <w:rPr>
          <w:rFonts w:cstheme="minorHAnsi"/>
          <w:bCs/>
        </w:rPr>
        <w:t xml:space="preserve"> objeto licitado </w:t>
      </w:r>
      <w:r>
        <w:rPr>
          <w:rFonts w:cstheme="minorHAnsi"/>
          <w:bCs/>
        </w:rPr>
        <w:t>seja</w:t>
      </w:r>
      <w:r w:rsidRPr="0069638F">
        <w:rPr>
          <w:rFonts w:cstheme="minorHAnsi"/>
          <w:bCs/>
        </w:rPr>
        <w:t xml:space="preserve"> contratado de forma global, em 4 lotes distintos. Tal forma de contratação leva em conta termos logísticos e técnicos, tendo em vista que se trata de obra padrão podendo ser instalada em localidades distintas do município.</w:t>
      </w:r>
      <w:r>
        <w:rPr>
          <w:rFonts w:cstheme="minorHAnsi"/>
          <w:bCs/>
        </w:rPr>
        <w:t xml:space="preserve"> Além dos termos técnicos e logísticos, essa forma de contratação traz ampla concorrência ao processo, resultando, na maioria dos casos, em propostas mais vantajosas à Administração.</w:t>
      </w:r>
    </w:p>
    <w:p w14:paraId="3894B1A9" w14:textId="77777777" w:rsidR="002F2A30" w:rsidRDefault="002F2A30" w:rsidP="002F2A30">
      <w:pPr>
        <w:spacing w:after="0"/>
        <w:jc w:val="both"/>
        <w:rPr>
          <w:rFonts w:cstheme="minorHAnsi"/>
          <w:bCs/>
        </w:rPr>
      </w:pPr>
    </w:p>
    <w:p w14:paraId="29DB5B16" w14:textId="395B13F1" w:rsidR="002F2A30" w:rsidRDefault="002F2A30" w:rsidP="002F2A30">
      <w:pPr>
        <w:pStyle w:val="Ttulo3"/>
      </w:pPr>
      <w:r>
        <w:t xml:space="preserve">3. </w:t>
      </w:r>
      <w:r w:rsidR="008232F2">
        <w:t>DO PRAZO DE ABERTURA DE ACORDO COM A TIPOLOGIA DO OBJETO</w:t>
      </w:r>
    </w:p>
    <w:p w14:paraId="1998E26D" w14:textId="77777777" w:rsidR="0069638F" w:rsidRPr="0069638F" w:rsidRDefault="0069638F" w:rsidP="0069638F"/>
    <w:p w14:paraId="7AA626DB" w14:textId="43E8AB0D" w:rsidR="00CF5CE6" w:rsidRDefault="00CF5CE6" w:rsidP="00126C5D">
      <w:pPr>
        <w:jc w:val="both"/>
      </w:pPr>
      <w:r>
        <w:tab/>
        <w:t xml:space="preserve">O </w:t>
      </w:r>
      <w:r w:rsidR="00287035">
        <w:t>Art.55 da Lei 14.133/2021, trata dos prazos mínimos para apresentação de propostas e lances</w:t>
      </w:r>
      <w:r w:rsidR="007136CA">
        <w:t>, como pode-se observado</w:t>
      </w:r>
      <w:r w:rsidR="00B55126">
        <w:t xml:space="preserve"> no trecho em destaque a seguir.</w:t>
      </w:r>
    </w:p>
    <w:p w14:paraId="72DDE1FF" w14:textId="24D4E33C" w:rsidR="00EF1E82" w:rsidRDefault="002F2E7E" w:rsidP="00250D97">
      <w:pPr>
        <w:spacing w:after="0"/>
        <w:ind w:left="2124"/>
        <w:jc w:val="both"/>
        <w:rPr>
          <w:i/>
          <w:iCs/>
        </w:rPr>
      </w:pPr>
      <w:r>
        <w:rPr>
          <w:i/>
          <w:iCs/>
        </w:rPr>
        <w:lastRenderedPageBreak/>
        <w:t>“</w:t>
      </w:r>
      <w:r w:rsidR="00B55126" w:rsidRPr="00B55126">
        <w:rPr>
          <w:i/>
          <w:iCs/>
        </w:rPr>
        <w:t>Art. 55. Os prazos mínimos para apresentação de</w:t>
      </w:r>
      <w:r w:rsidR="00B55126">
        <w:rPr>
          <w:i/>
          <w:iCs/>
        </w:rPr>
        <w:t xml:space="preserve"> </w:t>
      </w:r>
      <w:r w:rsidR="00B55126" w:rsidRPr="00B55126">
        <w:rPr>
          <w:i/>
          <w:iCs/>
        </w:rPr>
        <w:t>propostas e lances, contados a partir da data de divulgação</w:t>
      </w:r>
      <w:r w:rsidR="00EF1E82">
        <w:rPr>
          <w:i/>
          <w:iCs/>
        </w:rPr>
        <w:t xml:space="preserve"> </w:t>
      </w:r>
      <w:r w:rsidR="00B55126" w:rsidRPr="00B55126">
        <w:rPr>
          <w:i/>
          <w:iCs/>
        </w:rPr>
        <w:t>do edital de licitação, são de:</w:t>
      </w:r>
      <w:r w:rsidR="00EF1E82">
        <w:rPr>
          <w:i/>
          <w:iCs/>
        </w:rPr>
        <w:t xml:space="preserve"> </w:t>
      </w:r>
    </w:p>
    <w:p w14:paraId="392BA394" w14:textId="18EB4B48" w:rsidR="00B55126" w:rsidRPr="00B55126" w:rsidRDefault="00EF1E82" w:rsidP="00250D97">
      <w:pPr>
        <w:spacing w:after="0"/>
        <w:ind w:left="2124"/>
        <w:jc w:val="both"/>
        <w:rPr>
          <w:i/>
          <w:iCs/>
        </w:rPr>
      </w:pPr>
      <w:r>
        <w:rPr>
          <w:i/>
          <w:iCs/>
        </w:rPr>
        <w:t>(...)</w:t>
      </w:r>
    </w:p>
    <w:p w14:paraId="5A2F378F" w14:textId="77777777" w:rsidR="00B55126" w:rsidRPr="00B55126" w:rsidRDefault="00B55126" w:rsidP="00250D97">
      <w:pPr>
        <w:spacing w:after="0"/>
        <w:ind w:left="2124"/>
        <w:jc w:val="both"/>
        <w:rPr>
          <w:i/>
          <w:iCs/>
        </w:rPr>
      </w:pPr>
      <w:r w:rsidRPr="00B55126">
        <w:rPr>
          <w:i/>
          <w:iCs/>
        </w:rPr>
        <w:t>II - no caso de serviços e obras:</w:t>
      </w:r>
    </w:p>
    <w:p w14:paraId="29BE1992" w14:textId="5B06F7A1" w:rsidR="00B55126" w:rsidRPr="00B55126" w:rsidRDefault="00B55126" w:rsidP="00250D97">
      <w:pPr>
        <w:spacing w:after="0"/>
        <w:ind w:left="2124"/>
        <w:jc w:val="both"/>
        <w:rPr>
          <w:i/>
          <w:iCs/>
        </w:rPr>
      </w:pPr>
      <w:r w:rsidRPr="00B55126">
        <w:rPr>
          <w:i/>
          <w:iCs/>
        </w:rPr>
        <w:t>a) 10 (dez) dias úteis, quando adotados os critérios</w:t>
      </w:r>
      <w:r w:rsidR="00EF1E82">
        <w:rPr>
          <w:i/>
          <w:iCs/>
        </w:rPr>
        <w:t xml:space="preserve"> </w:t>
      </w:r>
      <w:r w:rsidRPr="00B55126">
        <w:rPr>
          <w:i/>
          <w:iCs/>
        </w:rPr>
        <w:t xml:space="preserve">de julgamento de menor </w:t>
      </w:r>
      <w:r w:rsidR="001E02AD">
        <w:rPr>
          <w:i/>
          <w:iCs/>
        </w:rPr>
        <w:t>p</w:t>
      </w:r>
      <w:r w:rsidRPr="00B55126">
        <w:rPr>
          <w:i/>
          <w:iCs/>
        </w:rPr>
        <w:t>reço ou de maior desconto,</w:t>
      </w:r>
      <w:r w:rsidR="001E02AD">
        <w:rPr>
          <w:i/>
          <w:iCs/>
        </w:rPr>
        <w:t xml:space="preserve"> </w:t>
      </w:r>
      <w:r w:rsidRPr="00B55126">
        <w:rPr>
          <w:i/>
          <w:iCs/>
        </w:rPr>
        <w:t>no caso de serviços comuns e de obras e serviços</w:t>
      </w:r>
    </w:p>
    <w:p w14:paraId="4F16A0B7" w14:textId="7CE7B38D" w:rsidR="00B55126" w:rsidRDefault="00B55126" w:rsidP="00250D97">
      <w:pPr>
        <w:spacing w:after="0"/>
        <w:ind w:left="2124"/>
        <w:jc w:val="both"/>
        <w:rPr>
          <w:i/>
          <w:iCs/>
        </w:rPr>
      </w:pPr>
      <w:r w:rsidRPr="00B55126">
        <w:rPr>
          <w:i/>
          <w:iCs/>
        </w:rPr>
        <w:t>comuns de engenharia;</w:t>
      </w:r>
    </w:p>
    <w:p w14:paraId="59575969" w14:textId="1AF80C1A" w:rsidR="001E02AD" w:rsidRPr="001E02AD" w:rsidRDefault="001E02AD" w:rsidP="00250D97">
      <w:pPr>
        <w:spacing w:after="0"/>
        <w:ind w:left="2124"/>
        <w:jc w:val="both"/>
        <w:rPr>
          <w:i/>
          <w:iCs/>
        </w:rPr>
      </w:pPr>
      <w:r w:rsidRPr="001E02AD">
        <w:rPr>
          <w:i/>
          <w:iCs/>
        </w:rPr>
        <w:t>b) 25 (vinte e cinco) dias úteis, quando adotados os</w:t>
      </w:r>
      <w:r>
        <w:rPr>
          <w:i/>
          <w:iCs/>
        </w:rPr>
        <w:t xml:space="preserve"> </w:t>
      </w:r>
      <w:r w:rsidRPr="001E02AD">
        <w:rPr>
          <w:i/>
          <w:iCs/>
        </w:rPr>
        <w:t>critérios de julgamento de menor preço ou de maior</w:t>
      </w:r>
      <w:r>
        <w:rPr>
          <w:i/>
          <w:iCs/>
        </w:rPr>
        <w:t xml:space="preserve"> </w:t>
      </w:r>
      <w:r w:rsidRPr="001E02AD">
        <w:rPr>
          <w:i/>
          <w:iCs/>
        </w:rPr>
        <w:t>desconto, no caso de serviços especiais e de obras e</w:t>
      </w:r>
    </w:p>
    <w:p w14:paraId="070DFD32" w14:textId="77777777" w:rsidR="001E02AD" w:rsidRPr="001E02AD" w:rsidRDefault="001E02AD" w:rsidP="00250D97">
      <w:pPr>
        <w:spacing w:after="0"/>
        <w:ind w:left="2124"/>
        <w:jc w:val="both"/>
        <w:rPr>
          <w:i/>
          <w:iCs/>
        </w:rPr>
      </w:pPr>
      <w:r w:rsidRPr="001E02AD">
        <w:rPr>
          <w:i/>
          <w:iCs/>
        </w:rPr>
        <w:t>serviços especiais de engenharia;</w:t>
      </w:r>
    </w:p>
    <w:p w14:paraId="11189C2B" w14:textId="031A1EB6" w:rsidR="001E02AD" w:rsidRPr="001E02AD" w:rsidRDefault="001E02AD" w:rsidP="00250D97">
      <w:pPr>
        <w:spacing w:after="0"/>
        <w:ind w:left="2124"/>
        <w:jc w:val="both"/>
        <w:rPr>
          <w:i/>
          <w:iCs/>
        </w:rPr>
      </w:pPr>
      <w:r w:rsidRPr="001E02AD">
        <w:rPr>
          <w:i/>
          <w:iCs/>
        </w:rPr>
        <w:t>c) 60 (sessenta) dias úteis, quando o regime de execução</w:t>
      </w:r>
      <w:r w:rsidR="00250D97">
        <w:rPr>
          <w:i/>
          <w:iCs/>
        </w:rPr>
        <w:t xml:space="preserve"> </w:t>
      </w:r>
      <w:r w:rsidRPr="001E02AD">
        <w:rPr>
          <w:i/>
          <w:iCs/>
        </w:rPr>
        <w:t>for de contratação integrada;</w:t>
      </w:r>
    </w:p>
    <w:p w14:paraId="5C20960C" w14:textId="46AEECAB" w:rsidR="001E02AD" w:rsidRDefault="001E02AD" w:rsidP="00250D97">
      <w:pPr>
        <w:spacing w:after="0"/>
        <w:ind w:left="2124"/>
        <w:jc w:val="both"/>
        <w:rPr>
          <w:i/>
          <w:iCs/>
        </w:rPr>
      </w:pPr>
      <w:r w:rsidRPr="001E02AD">
        <w:rPr>
          <w:i/>
          <w:iCs/>
        </w:rPr>
        <w:t>d) 35 (trinta e cinco) dias úteis, quando o regime de</w:t>
      </w:r>
      <w:r w:rsidR="00250D97">
        <w:rPr>
          <w:i/>
          <w:iCs/>
        </w:rPr>
        <w:t xml:space="preserve"> </w:t>
      </w:r>
      <w:r w:rsidRPr="001E02AD">
        <w:rPr>
          <w:i/>
          <w:iCs/>
        </w:rPr>
        <w:t>execução for o de contratação semi-integrada ou</w:t>
      </w:r>
      <w:r w:rsidR="00250D97">
        <w:rPr>
          <w:i/>
          <w:iCs/>
        </w:rPr>
        <w:t xml:space="preserve"> </w:t>
      </w:r>
      <w:r w:rsidRPr="001E02AD">
        <w:rPr>
          <w:i/>
          <w:iCs/>
        </w:rPr>
        <w:t>nas hipóteses não abrangidas pelas alíneas “a”, “b” e</w:t>
      </w:r>
      <w:r w:rsidR="00250D97">
        <w:rPr>
          <w:i/>
          <w:iCs/>
        </w:rPr>
        <w:t xml:space="preserve"> </w:t>
      </w:r>
      <w:r w:rsidRPr="001E02AD">
        <w:rPr>
          <w:i/>
          <w:iCs/>
        </w:rPr>
        <w:t>“c” deste inciso;</w:t>
      </w:r>
    </w:p>
    <w:p w14:paraId="6894CEEE" w14:textId="7B56CA58" w:rsidR="00250D97" w:rsidRDefault="00250D97" w:rsidP="00250D97">
      <w:pPr>
        <w:spacing w:after="0"/>
        <w:ind w:left="2124"/>
        <w:jc w:val="both"/>
        <w:rPr>
          <w:i/>
          <w:iCs/>
        </w:rPr>
      </w:pPr>
      <w:r>
        <w:rPr>
          <w:i/>
          <w:iCs/>
        </w:rPr>
        <w:t>(...)</w:t>
      </w:r>
      <w:r w:rsidR="002F2E7E">
        <w:rPr>
          <w:i/>
          <w:iCs/>
        </w:rPr>
        <w:t>”</w:t>
      </w:r>
    </w:p>
    <w:p w14:paraId="65E97EEA" w14:textId="77777777" w:rsidR="00250D97" w:rsidRDefault="00250D97" w:rsidP="00250D97">
      <w:pPr>
        <w:spacing w:after="0"/>
        <w:jc w:val="both"/>
        <w:rPr>
          <w:i/>
          <w:iCs/>
        </w:rPr>
      </w:pPr>
    </w:p>
    <w:p w14:paraId="074E6882" w14:textId="719E03E6" w:rsidR="00250D97" w:rsidRDefault="00250D97" w:rsidP="00250D97">
      <w:pPr>
        <w:spacing w:after="0"/>
        <w:jc w:val="both"/>
      </w:pPr>
      <w:r>
        <w:tab/>
      </w:r>
      <w:r w:rsidR="00AC2FE0">
        <w:t xml:space="preserve">Embora a lei em questão estabeleça os prazos </w:t>
      </w:r>
      <w:r w:rsidR="007518A8">
        <w:t xml:space="preserve">mínimos para abertura de propostas e lances baseado em classificações de obras e serviços, </w:t>
      </w:r>
      <w:r w:rsidR="002D1451">
        <w:t>ela</w:t>
      </w:r>
      <w:r w:rsidR="007518A8">
        <w:t xml:space="preserve"> não caracteriza objetivamente </w:t>
      </w:r>
      <w:r w:rsidR="0007108C">
        <w:t xml:space="preserve">cada tipologia. </w:t>
      </w:r>
      <w:r w:rsidR="002D1451">
        <w:t xml:space="preserve">Para a correta elucidação do caso, considerou-se a NOTA TÉCNICA IBR 001/2021, do Instituto Brasileiro de Auditoria de Obras Públicas, </w:t>
      </w:r>
      <w:r w:rsidR="007340A8">
        <w:t>que tem como título “</w:t>
      </w:r>
      <w:r w:rsidR="007340A8" w:rsidRPr="007340A8">
        <w:t>Entendimento sobre obra comum e obra especial de engenharia previstos na Lei nº 14.133/2021</w:t>
      </w:r>
      <w:r w:rsidR="007340A8">
        <w:t>”</w:t>
      </w:r>
      <w:r w:rsidR="007340A8" w:rsidRPr="007340A8">
        <w:t>.</w:t>
      </w:r>
    </w:p>
    <w:p w14:paraId="3A2A8EA3" w14:textId="6F3BCA58" w:rsidR="006F7505" w:rsidRDefault="006F7505" w:rsidP="00250D97">
      <w:pPr>
        <w:spacing w:after="0"/>
        <w:jc w:val="both"/>
      </w:pPr>
      <w:r>
        <w:tab/>
      </w:r>
      <w:r w:rsidR="001E2681">
        <w:t xml:space="preserve">A referida nota, no item 4, nos </w:t>
      </w:r>
      <w:r w:rsidR="00CC02E6">
        <w:t>revela que, para ser considerada uma</w:t>
      </w:r>
      <w:r w:rsidR="001E2681">
        <w:t xml:space="preserve"> Obra Comum de Engenharia,</w:t>
      </w:r>
      <w:r w:rsidR="00CC02E6">
        <w:t xml:space="preserve"> a mesma, deve atender a 04 critérios,</w:t>
      </w:r>
      <w:r w:rsidR="001E2681">
        <w:t xml:space="preserve"> a saber:</w:t>
      </w:r>
    </w:p>
    <w:p w14:paraId="5E6BB8F6" w14:textId="77777777" w:rsidR="001E2681" w:rsidRDefault="001E2681" w:rsidP="00250D97">
      <w:pPr>
        <w:spacing w:after="0"/>
        <w:jc w:val="both"/>
      </w:pPr>
    </w:p>
    <w:p w14:paraId="4ED674A2" w14:textId="1C898B25" w:rsidR="001E2681" w:rsidRPr="002F2E7E" w:rsidRDefault="002F2E7E" w:rsidP="002F2E7E">
      <w:pPr>
        <w:spacing w:after="0"/>
        <w:ind w:left="2124"/>
        <w:jc w:val="both"/>
        <w:rPr>
          <w:i/>
          <w:iCs/>
        </w:rPr>
      </w:pPr>
      <w:r>
        <w:rPr>
          <w:i/>
          <w:iCs/>
        </w:rPr>
        <w:t xml:space="preserve">“(...) </w:t>
      </w:r>
      <w:r w:rsidRPr="002F2E7E">
        <w:rPr>
          <w:i/>
          <w:iCs/>
        </w:rPr>
        <w:t xml:space="preserve">é possível concluir o entendimento de que </w:t>
      </w:r>
      <w:r w:rsidRPr="008A1CBA">
        <w:rPr>
          <w:b/>
          <w:bCs/>
          <w:i/>
          <w:iCs/>
        </w:rPr>
        <w:t>obra comum de engenharia</w:t>
      </w:r>
      <w:r w:rsidRPr="002F2E7E">
        <w:rPr>
          <w:i/>
          <w:iCs/>
        </w:rPr>
        <w:t xml:space="preserve"> é aquela na qual (i) a mão de obra, os equipamentos e os materiais utilizados são padronizáveis e (ii) amplamente disponíveis no mercado, (iii) os métodos construtivos têm responsabilidade técnica assumida por arquiteto, engenheiro ou técnico com registro no conselho profissional (que atenda aos requisitos previsto no edital), bem como (iv) os objetos contratados são de conhecimento geral e possuem muitas características técnicas de fácil descrição e compreensão, inclusive por parte do executor da obra, o operário da construção civil.</w:t>
      </w:r>
      <w:r>
        <w:rPr>
          <w:i/>
          <w:iCs/>
        </w:rPr>
        <w:t xml:space="preserve"> (...)”</w:t>
      </w:r>
    </w:p>
    <w:p w14:paraId="14B6399C" w14:textId="5E574EED" w:rsidR="008232F2" w:rsidRDefault="00B76911" w:rsidP="008232F2">
      <w:r>
        <w:tab/>
      </w:r>
    </w:p>
    <w:p w14:paraId="671C7D08" w14:textId="1540AE18" w:rsidR="00B76911" w:rsidRPr="00AB538F" w:rsidRDefault="00B76911" w:rsidP="00982C87">
      <w:pPr>
        <w:jc w:val="both"/>
      </w:pPr>
      <w:r>
        <w:tab/>
        <w:t xml:space="preserve">A Obra objeto deste processo trata </w:t>
      </w:r>
      <w:r w:rsidR="00480322">
        <w:t>de construção de uma quadra poliesportiva</w:t>
      </w:r>
      <w:r w:rsidR="00982C87">
        <w:t xml:space="preserve"> que se enquadra em </w:t>
      </w:r>
      <w:r w:rsidR="00ED0885">
        <w:t>todos os quartos</w:t>
      </w:r>
      <w:r w:rsidR="00982C87">
        <w:t xml:space="preserve"> quesitos acima. Ademais</w:t>
      </w:r>
      <w:r w:rsidR="00ED0885">
        <w:t>, trata-se</w:t>
      </w:r>
      <w:r>
        <w:t xml:space="preserve"> de uma </w:t>
      </w:r>
      <w:r w:rsidR="00A044E3">
        <w:rPr>
          <w:b/>
          <w:bCs/>
        </w:rPr>
        <w:t>quadra poliesportiva com estrutura metálica</w:t>
      </w:r>
      <w:r w:rsidR="00A044E3">
        <w:t xml:space="preserve">, metodologia construtiva amplamente </w:t>
      </w:r>
      <w:r w:rsidR="00CB1A1C">
        <w:t>utilizada no mercado, por muitas vezes até mesmo sem acompanhamento de profissional adequado</w:t>
      </w:r>
      <w:r w:rsidR="00AB538F">
        <w:t>. Então</w:t>
      </w:r>
      <w:r w:rsidR="00D15B51">
        <w:t xml:space="preserve">, pode-se assegurar que trata de uma </w:t>
      </w:r>
      <w:r w:rsidR="00D15B51" w:rsidRPr="00565A88">
        <w:rPr>
          <w:b/>
          <w:bCs/>
          <w:u w:val="single"/>
        </w:rPr>
        <w:t>Obra Comum de Engenharia</w:t>
      </w:r>
      <w:r w:rsidR="00D15B51">
        <w:t>.</w:t>
      </w:r>
      <w:r w:rsidR="00565A88">
        <w:t xml:space="preserve"> Por esta razão, orienta-se </w:t>
      </w:r>
      <w:r w:rsidR="000A6A12">
        <w:t>adotar</w:t>
      </w:r>
      <w:r w:rsidR="00EC52AB">
        <w:t>, de acordo com</w:t>
      </w:r>
      <w:r w:rsidR="000A6A12">
        <w:t xml:space="preserve"> </w:t>
      </w:r>
      <w:r w:rsidR="00CB1A1C">
        <w:t>a alínea</w:t>
      </w:r>
      <w:r w:rsidR="000A6A12">
        <w:t xml:space="preserve"> </w:t>
      </w:r>
      <w:r w:rsidR="004A171E">
        <w:t>“</w:t>
      </w:r>
      <w:r w:rsidR="000A6A12">
        <w:t>a</w:t>
      </w:r>
      <w:r w:rsidR="004A171E">
        <w:t>”,</w:t>
      </w:r>
      <w:r w:rsidR="000A6A12">
        <w:t xml:space="preserve"> inciso II do Art.55 da Lei 14.133/2021</w:t>
      </w:r>
      <w:r w:rsidR="004A171E">
        <w:t xml:space="preserve">, </w:t>
      </w:r>
      <w:r w:rsidR="00EC52AB">
        <w:t>o prazo mínimo de 10 (dez) dias úteis</w:t>
      </w:r>
      <w:r w:rsidR="00982C87">
        <w:t>.</w:t>
      </w:r>
    </w:p>
    <w:p w14:paraId="23EBCCE0" w14:textId="77777777" w:rsidR="008232F2" w:rsidRPr="008232F2" w:rsidRDefault="008232F2" w:rsidP="008232F2"/>
    <w:p w14:paraId="1EEA895C" w14:textId="18FA8525" w:rsidR="005F1E64" w:rsidRDefault="005F1E64" w:rsidP="00277784">
      <w:pPr>
        <w:pStyle w:val="Ttulo3"/>
      </w:pPr>
      <w:r w:rsidRPr="00147D7E">
        <w:lastRenderedPageBreak/>
        <w:t>3. DA HABILITAÇÃO DA CONTRATADA</w:t>
      </w:r>
      <w:r w:rsidR="00277784">
        <w:t xml:space="preserve"> QUANTO A QUALIFICAÇÃO TÉCNICA</w:t>
      </w:r>
    </w:p>
    <w:p w14:paraId="24EEBE71" w14:textId="77777777" w:rsidR="0069638F" w:rsidRPr="0069638F" w:rsidRDefault="0069638F" w:rsidP="0069638F"/>
    <w:p w14:paraId="34E9434A" w14:textId="4779D500" w:rsidR="000940E1" w:rsidRDefault="00A077DA" w:rsidP="000306EE">
      <w:pPr>
        <w:spacing w:after="240" w:line="240" w:lineRule="auto"/>
        <w:ind w:firstLine="708"/>
        <w:jc w:val="both"/>
        <w:rPr>
          <w:rFonts w:cstheme="minorHAnsi"/>
          <w:bCs/>
        </w:rPr>
      </w:pPr>
      <w:r w:rsidRPr="00A3387F">
        <w:rPr>
          <w:rFonts w:cstheme="minorHAnsi"/>
          <w:bCs/>
        </w:rPr>
        <w:t>O Art.6</w:t>
      </w:r>
      <w:r w:rsidR="00A3387F" w:rsidRPr="00A3387F">
        <w:rPr>
          <w:rFonts w:cstheme="minorHAnsi"/>
          <w:bCs/>
        </w:rPr>
        <w:t>7</w:t>
      </w:r>
      <w:r w:rsidR="00A3387F">
        <w:rPr>
          <w:rFonts w:cstheme="minorHAnsi"/>
          <w:bCs/>
        </w:rPr>
        <w:t xml:space="preserve">, </w:t>
      </w:r>
      <w:r w:rsidR="003046E5">
        <w:rPr>
          <w:rFonts w:cstheme="minorHAnsi"/>
          <w:bCs/>
        </w:rPr>
        <w:t>§</w:t>
      </w:r>
      <w:r w:rsidR="002526E4">
        <w:rPr>
          <w:rFonts w:cstheme="minorHAnsi"/>
          <w:bCs/>
        </w:rPr>
        <w:t>1º</w:t>
      </w:r>
      <w:r w:rsidR="007C2CEE">
        <w:rPr>
          <w:rFonts w:cstheme="minorHAnsi"/>
          <w:bCs/>
        </w:rPr>
        <w:t xml:space="preserve"> e §2º</w:t>
      </w:r>
      <w:r w:rsidR="002526E4">
        <w:rPr>
          <w:rFonts w:cstheme="minorHAnsi"/>
          <w:bCs/>
        </w:rPr>
        <w:t xml:space="preserve"> da Lei 14.133/2021 trata das limitações quanto a exigência</w:t>
      </w:r>
      <w:r w:rsidR="0002116D">
        <w:rPr>
          <w:rFonts w:cstheme="minorHAnsi"/>
          <w:bCs/>
        </w:rPr>
        <w:t xml:space="preserve"> de atestados de capacidade técnica, como podemos ver no trecho a seguir</w:t>
      </w:r>
      <w:r w:rsidR="007C2CEE">
        <w:rPr>
          <w:rFonts w:cstheme="minorHAnsi"/>
          <w:bCs/>
        </w:rPr>
        <w:t>.</w:t>
      </w:r>
    </w:p>
    <w:p w14:paraId="55822E72" w14:textId="689E9514" w:rsidR="007C2CEE" w:rsidRPr="00B84538" w:rsidRDefault="00B84538" w:rsidP="00B84538">
      <w:pPr>
        <w:spacing w:after="0"/>
        <w:ind w:left="2124"/>
        <w:jc w:val="both"/>
        <w:rPr>
          <w:i/>
          <w:iCs/>
        </w:rPr>
      </w:pPr>
      <w:r w:rsidRPr="00B84538">
        <w:rPr>
          <w:i/>
          <w:iCs/>
        </w:rPr>
        <w:t>“</w:t>
      </w:r>
      <w:r w:rsidR="00780633" w:rsidRPr="00B84538">
        <w:rPr>
          <w:i/>
          <w:iCs/>
        </w:rPr>
        <w:t>Art. 67. A documentação relativa à qualificação</w:t>
      </w:r>
      <w:r>
        <w:rPr>
          <w:i/>
          <w:iCs/>
        </w:rPr>
        <w:t xml:space="preserve"> </w:t>
      </w:r>
      <w:r w:rsidR="00780633" w:rsidRPr="00B84538">
        <w:rPr>
          <w:i/>
          <w:iCs/>
        </w:rPr>
        <w:t>técnico-profissional e técnico-operacional será restrita</w:t>
      </w:r>
      <w:r>
        <w:rPr>
          <w:i/>
          <w:iCs/>
        </w:rPr>
        <w:t xml:space="preserve"> </w:t>
      </w:r>
      <w:r w:rsidR="00780633" w:rsidRPr="00B84538">
        <w:rPr>
          <w:i/>
          <w:iCs/>
        </w:rPr>
        <w:t>a:</w:t>
      </w:r>
    </w:p>
    <w:p w14:paraId="1B8251A1" w14:textId="5EB5E2AC" w:rsidR="00780633" w:rsidRPr="00B84538" w:rsidRDefault="00780633" w:rsidP="00B84538">
      <w:pPr>
        <w:spacing w:after="0"/>
        <w:ind w:left="2124"/>
        <w:jc w:val="both"/>
        <w:rPr>
          <w:i/>
          <w:iCs/>
        </w:rPr>
      </w:pPr>
      <w:r w:rsidRPr="00B84538">
        <w:rPr>
          <w:i/>
          <w:iCs/>
        </w:rPr>
        <w:t>(...)</w:t>
      </w:r>
    </w:p>
    <w:p w14:paraId="7B8817D3" w14:textId="09EDBE29" w:rsidR="00B84538" w:rsidRPr="00B84538" w:rsidRDefault="00B84538" w:rsidP="00B84538">
      <w:pPr>
        <w:spacing w:after="0"/>
        <w:ind w:left="2124"/>
        <w:jc w:val="both"/>
        <w:rPr>
          <w:i/>
          <w:iCs/>
        </w:rPr>
      </w:pPr>
      <w:r w:rsidRPr="00B84538">
        <w:rPr>
          <w:i/>
          <w:iCs/>
        </w:rPr>
        <w:t>§ 1º A exigência de atestados será restrita às parcelas</w:t>
      </w:r>
      <w:r>
        <w:rPr>
          <w:i/>
          <w:iCs/>
        </w:rPr>
        <w:t xml:space="preserve"> </w:t>
      </w:r>
      <w:r w:rsidRPr="00B84538">
        <w:rPr>
          <w:i/>
          <w:iCs/>
        </w:rPr>
        <w:t xml:space="preserve">de maior relevância </w:t>
      </w:r>
      <w:r w:rsidRPr="003633FF">
        <w:rPr>
          <w:b/>
          <w:bCs/>
          <w:i/>
          <w:iCs/>
        </w:rPr>
        <w:t>ou</w:t>
      </w:r>
      <w:r w:rsidRPr="00B84538">
        <w:rPr>
          <w:i/>
          <w:iCs/>
        </w:rPr>
        <w:t xml:space="preserve"> valor significativo do objeto</w:t>
      </w:r>
      <w:r>
        <w:rPr>
          <w:i/>
          <w:iCs/>
        </w:rPr>
        <w:t xml:space="preserve"> </w:t>
      </w:r>
      <w:r w:rsidRPr="00B84538">
        <w:rPr>
          <w:i/>
          <w:iCs/>
        </w:rPr>
        <w:t>da licitação, assim consideradas as que tenham valor</w:t>
      </w:r>
      <w:r>
        <w:rPr>
          <w:i/>
          <w:iCs/>
        </w:rPr>
        <w:t xml:space="preserve"> </w:t>
      </w:r>
      <w:r w:rsidRPr="00B84538">
        <w:rPr>
          <w:i/>
          <w:iCs/>
        </w:rPr>
        <w:t>individual igual ou superior a 4% (quatro por cento)</w:t>
      </w:r>
      <w:r>
        <w:rPr>
          <w:i/>
          <w:iCs/>
        </w:rPr>
        <w:t xml:space="preserve"> </w:t>
      </w:r>
      <w:r w:rsidRPr="00B84538">
        <w:rPr>
          <w:i/>
          <w:iCs/>
        </w:rPr>
        <w:t>do valor total estimado da contratação.</w:t>
      </w:r>
    </w:p>
    <w:p w14:paraId="71ED9034" w14:textId="2322BEC3" w:rsidR="00B84538" w:rsidRPr="00B84538" w:rsidRDefault="00B84538" w:rsidP="00B84538">
      <w:pPr>
        <w:spacing w:after="0"/>
        <w:ind w:left="2124"/>
        <w:jc w:val="both"/>
        <w:rPr>
          <w:i/>
          <w:iCs/>
        </w:rPr>
      </w:pPr>
      <w:r w:rsidRPr="00B84538">
        <w:rPr>
          <w:i/>
          <w:iCs/>
        </w:rPr>
        <w:t>§ 2º Observado o disposto no caput e no § 1º deste</w:t>
      </w:r>
      <w:r>
        <w:rPr>
          <w:i/>
          <w:iCs/>
        </w:rPr>
        <w:t xml:space="preserve"> </w:t>
      </w:r>
      <w:r w:rsidRPr="00B84538">
        <w:rPr>
          <w:i/>
          <w:iCs/>
        </w:rPr>
        <w:t>artigo, será admitida a exigência de atestados com</w:t>
      </w:r>
      <w:r>
        <w:rPr>
          <w:i/>
          <w:iCs/>
        </w:rPr>
        <w:t xml:space="preserve"> </w:t>
      </w:r>
      <w:r w:rsidRPr="00B84538">
        <w:rPr>
          <w:i/>
          <w:iCs/>
        </w:rPr>
        <w:t>quantidades mínimas de até 50% (cinquenta por cento)</w:t>
      </w:r>
      <w:r>
        <w:rPr>
          <w:i/>
          <w:iCs/>
        </w:rPr>
        <w:t xml:space="preserve"> </w:t>
      </w:r>
      <w:r w:rsidRPr="00B84538">
        <w:rPr>
          <w:i/>
          <w:iCs/>
        </w:rPr>
        <w:t>das parcelas de que trata o referido parágrafo,</w:t>
      </w:r>
    </w:p>
    <w:p w14:paraId="7B9D195E" w14:textId="32DC9524" w:rsidR="00780633" w:rsidRPr="00B84538" w:rsidRDefault="00B84538" w:rsidP="00B84538">
      <w:pPr>
        <w:spacing w:after="0"/>
        <w:ind w:left="2124"/>
        <w:jc w:val="both"/>
        <w:rPr>
          <w:i/>
          <w:iCs/>
        </w:rPr>
      </w:pPr>
      <w:r w:rsidRPr="00B84538">
        <w:rPr>
          <w:i/>
          <w:iCs/>
        </w:rPr>
        <w:t>vedadas limitações de tempo e de locais específicos</w:t>
      </w:r>
      <w:r w:rsidR="003633FF">
        <w:rPr>
          <w:i/>
          <w:iCs/>
        </w:rPr>
        <w:t xml:space="preserve"> </w:t>
      </w:r>
      <w:r w:rsidRPr="00B84538">
        <w:rPr>
          <w:i/>
          <w:iCs/>
        </w:rPr>
        <w:t>relativas aos atestados.</w:t>
      </w:r>
    </w:p>
    <w:p w14:paraId="04B8BBCE" w14:textId="3482A417" w:rsidR="00B84538" w:rsidRDefault="00B84538" w:rsidP="00B84538">
      <w:pPr>
        <w:spacing w:after="0"/>
        <w:ind w:left="2124"/>
        <w:jc w:val="both"/>
        <w:rPr>
          <w:i/>
          <w:iCs/>
        </w:rPr>
      </w:pPr>
      <w:r w:rsidRPr="00B84538">
        <w:rPr>
          <w:i/>
          <w:iCs/>
        </w:rPr>
        <w:t>(...)”</w:t>
      </w:r>
    </w:p>
    <w:p w14:paraId="1C20844C" w14:textId="77777777" w:rsidR="00581A82" w:rsidRDefault="00581A82" w:rsidP="003633FF">
      <w:pPr>
        <w:spacing w:after="0"/>
        <w:jc w:val="both"/>
      </w:pPr>
    </w:p>
    <w:p w14:paraId="01784D1C" w14:textId="6397559E" w:rsidR="003633FF" w:rsidRDefault="000306EE" w:rsidP="003633FF">
      <w:pPr>
        <w:spacing w:after="0"/>
        <w:jc w:val="both"/>
      </w:pPr>
      <w:r>
        <w:tab/>
      </w:r>
      <w:r w:rsidR="00581A82">
        <w:t>Analisando a Curva ABC, anexa a este processo, observamos os seguintes itens como parcelas de maior relevância financeira na obra.</w:t>
      </w:r>
    </w:p>
    <w:p w14:paraId="0A83E7A1" w14:textId="77777777" w:rsidR="00B25F0F" w:rsidRDefault="00B25F0F" w:rsidP="003633FF">
      <w:pPr>
        <w:spacing w:after="0"/>
        <w:jc w:val="both"/>
      </w:pPr>
    </w:p>
    <w:p w14:paraId="18CE1993" w14:textId="3916C3F5" w:rsidR="00B25F0F" w:rsidRDefault="00480322" w:rsidP="003633FF">
      <w:pPr>
        <w:spacing w:after="0"/>
        <w:jc w:val="both"/>
      </w:pPr>
      <w:r w:rsidRPr="00480322">
        <w:rPr>
          <w:noProof/>
        </w:rPr>
        <w:drawing>
          <wp:inline distT="0" distB="0" distL="0" distR="0" wp14:anchorId="34DFE716" wp14:editId="585B13E3">
            <wp:extent cx="6188710" cy="1703705"/>
            <wp:effectExtent l="0" t="0" r="2540" b="0"/>
            <wp:docPr id="1523411924" name="Imagem 1" descr="Tabel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411924" name="Imagem 1" descr="Tabela&#10;&#10;Descrição gerada automaticamente com confiança média"/>
                    <pic:cNvPicPr/>
                  </pic:nvPicPr>
                  <pic:blipFill>
                    <a:blip r:embed="rId8"/>
                    <a:stretch>
                      <a:fillRect/>
                    </a:stretch>
                  </pic:blipFill>
                  <pic:spPr>
                    <a:xfrm>
                      <a:off x="0" y="0"/>
                      <a:ext cx="6188710" cy="1703705"/>
                    </a:xfrm>
                    <a:prstGeom prst="rect">
                      <a:avLst/>
                    </a:prstGeom>
                  </pic:spPr>
                </pic:pic>
              </a:graphicData>
            </a:graphic>
          </wp:inline>
        </w:drawing>
      </w:r>
    </w:p>
    <w:p w14:paraId="1EC89E8A" w14:textId="77777777" w:rsidR="00FA2397" w:rsidRDefault="00FA2397" w:rsidP="003633FF">
      <w:pPr>
        <w:spacing w:after="0"/>
        <w:jc w:val="both"/>
      </w:pPr>
    </w:p>
    <w:p w14:paraId="473F3554" w14:textId="4B7063D8" w:rsidR="003E64F8" w:rsidRDefault="00180899" w:rsidP="00B25F0F">
      <w:pPr>
        <w:spacing w:after="0"/>
        <w:jc w:val="both"/>
      </w:pPr>
      <w:r>
        <w:tab/>
      </w:r>
      <w:r w:rsidR="003E64F8" w:rsidRPr="00C1018F">
        <w:t xml:space="preserve">Dessa forma, visando uma contratação que traga êxito na execução dos objetos contratados de maneira suficiente e adequada, sugere-se exigência de experiência prévia relativa à execução dos serviços de maior relevância técnica </w:t>
      </w:r>
      <w:r w:rsidR="00C1018F">
        <w:t>ou</w:t>
      </w:r>
      <w:r w:rsidR="003E64F8" w:rsidRPr="00C1018F">
        <w:t xml:space="preserve"> impacto financeiro das obras.</w:t>
      </w:r>
      <w:r w:rsidR="00BB62BA" w:rsidRPr="00C1018F">
        <w:t xml:space="preserve"> </w:t>
      </w:r>
      <w:r w:rsidR="00F66A80">
        <w:t xml:space="preserve">Conforme estabelecido em lei, </w:t>
      </w:r>
      <w:r w:rsidR="00CB19E0">
        <w:t>os quantitativos mínimos a serem exigidos se limitam a 50% do quantitativo total previsto a ser executado no contrato</w:t>
      </w:r>
      <w:r w:rsidR="00B25F0F">
        <w:t>.</w:t>
      </w:r>
      <w:r w:rsidR="00F90073">
        <w:t xml:space="preserve"> Porém, considerando que os dois itens de maior impacto tratam de fornecimento exclusivo de material</w:t>
      </w:r>
      <w:r w:rsidR="00ED2E91">
        <w:t xml:space="preserve">, passam apenas os seguintes a serem considerados. </w:t>
      </w:r>
    </w:p>
    <w:p w14:paraId="46562F6B" w14:textId="7DE51F35" w:rsidR="00792C44" w:rsidRDefault="00792C44" w:rsidP="00C1018F">
      <w:pPr>
        <w:spacing w:after="0"/>
        <w:ind w:firstLine="708"/>
        <w:jc w:val="both"/>
      </w:pPr>
      <w:r>
        <w:t xml:space="preserve">Partindo destas premissas, chegou-se a exigência dos seguintes itens </w:t>
      </w:r>
      <w:r w:rsidR="008F7C43">
        <w:t>para comprovação de capacidade técnica da empresa a ser contratada:</w:t>
      </w:r>
    </w:p>
    <w:p w14:paraId="07BDF7BD" w14:textId="77777777" w:rsidR="008F7C43" w:rsidRDefault="008F7C43" w:rsidP="00C1018F">
      <w:pPr>
        <w:spacing w:after="0"/>
        <w:ind w:firstLine="708"/>
        <w:jc w:val="both"/>
      </w:pPr>
    </w:p>
    <w:p w14:paraId="2BFA91EA" w14:textId="28DD5BEB" w:rsidR="008F7C43" w:rsidRDefault="00E541E6" w:rsidP="008F7C43">
      <w:pPr>
        <w:pStyle w:val="PargrafodaLista"/>
        <w:numPr>
          <w:ilvl w:val="0"/>
          <w:numId w:val="15"/>
        </w:numPr>
        <w:spacing w:after="0"/>
        <w:jc w:val="both"/>
      </w:pPr>
      <w:r w:rsidRPr="00E541E6">
        <w:t>TELHAMENTO COM TELHA DE AÇO/ALUMÍNIO</w:t>
      </w:r>
      <w:r>
        <w:t xml:space="preserve"> </w:t>
      </w:r>
      <w:r w:rsidR="00EB55C2">
        <w:t>–</w:t>
      </w:r>
      <w:r>
        <w:t xml:space="preserve"> </w:t>
      </w:r>
      <w:r w:rsidR="00EB55C2">
        <w:t>600,00 m²</w:t>
      </w:r>
    </w:p>
    <w:p w14:paraId="015C37EF" w14:textId="55A3108F" w:rsidR="00EB55C2" w:rsidRDefault="00F253E8" w:rsidP="008F7C43">
      <w:pPr>
        <w:pStyle w:val="PargrafodaLista"/>
        <w:numPr>
          <w:ilvl w:val="0"/>
          <w:numId w:val="15"/>
        </w:numPr>
        <w:spacing w:after="0"/>
        <w:jc w:val="both"/>
      </w:pPr>
      <w:r w:rsidRPr="00F253E8">
        <w:lastRenderedPageBreak/>
        <w:t>MONTAGEM DE ESTRUTURA METÁLICA DE PILARES E COBERTURA EM</w:t>
      </w:r>
      <w:r>
        <w:t xml:space="preserve"> AÇO - 10.000,00 kg</w:t>
      </w:r>
    </w:p>
    <w:p w14:paraId="44F4E2B4" w14:textId="79408A88" w:rsidR="0043755A" w:rsidRDefault="00B25F0F" w:rsidP="008F7C43">
      <w:pPr>
        <w:pStyle w:val="PargrafodaLista"/>
        <w:numPr>
          <w:ilvl w:val="0"/>
          <w:numId w:val="15"/>
        </w:numPr>
        <w:spacing w:after="0"/>
        <w:jc w:val="both"/>
      </w:pPr>
      <w:r w:rsidRPr="00B25F0F">
        <w:t>ALVENARIA DE EMBASAMENTO COM BLOCO ESTRUTURAL</w:t>
      </w:r>
      <w:r>
        <w:t>–</w:t>
      </w:r>
      <w:r w:rsidR="006E040E" w:rsidRPr="006E040E">
        <w:t xml:space="preserve"> </w:t>
      </w:r>
      <w:r>
        <w:t xml:space="preserve">40,00 </w:t>
      </w:r>
      <w:r w:rsidR="006E040E" w:rsidRPr="006E040E">
        <w:t>m³</w:t>
      </w:r>
    </w:p>
    <w:p w14:paraId="1DC14C4A" w14:textId="3BB43859" w:rsidR="006E040E" w:rsidRPr="00C1018F" w:rsidRDefault="00B25F0F" w:rsidP="008F7C43">
      <w:pPr>
        <w:pStyle w:val="PargrafodaLista"/>
        <w:numPr>
          <w:ilvl w:val="0"/>
          <w:numId w:val="15"/>
        </w:numPr>
        <w:spacing w:after="0"/>
        <w:jc w:val="both"/>
      </w:pPr>
      <w:r w:rsidRPr="00B25F0F">
        <w:t>CONCRETAGEM DE RADIER, PISO DE CONCRETO OU LAJE SOBRE SOLO</w:t>
      </w:r>
      <w:r w:rsidR="005B7806">
        <w:t xml:space="preserve"> – </w:t>
      </w:r>
      <w:r>
        <w:t>30,00 m³</w:t>
      </w:r>
    </w:p>
    <w:p w14:paraId="5351705B" w14:textId="77777777" w:rsidR="003E64F8" w:rsidRPr="00EC3CE2" w:rsidRDefault="003E64F8" w:rsidP="003E64F8">
      <w:pPr>
        <w:widowControl w:val="0"/>
        <w:spacing w:after="0" w:line="240" w:lineRule="auto"/>
        <w:ind w:left="851"/>
        <w:jc w:val="both"/>
        <w:rPr>
          <w:rFonts w:cstheme="minorHAnsi"/>
          <w:b/>
          <w:bCs/>
        </w:rPr>
      </w:pPr>
    </w:p>
    <w:p w14:paraId="765023FA" w14:textId="77777777" w:rsidR="003E64F8" w:rsidRPr="005B7806" w:rsidRDefault="003E64F8" w:rsidP="005B7806">
      <w:pPr>
        <w:spacing w:after="0"/>
        <w:ind w:firstLine="708"/>
        <w:jc w:val="both"/>
      </w:pPr>
      <w:r w:rsidRPr="005B7806">
        <w:t>Para comprovação de capacidade técnica profissional, relativa à experiência prévia dos profissionais partícipes do quadro da empresa licitante nos serviços indicados, serão considerados os mesmos itens acima, excetuando a exigência de quantitativo mínimo de execução.</w:t>
      </w:r>
    </w:p>
    <w:p w14:paraId="7B81349D" w14:textId="3A25FF1E" w:rsidR="003E64F8" w:rsidRPr="000032A5" w:rsidRDefault="000032A5" w:rsidP="000032A5">
      <w:pPr>
        <w:spacing w:after="0"/>
        <w:ind w:firstLine="708"/>
        <w:jc w:val="both"/>
      </w:pPr>
      <w:r>
        <w:t>Ratifica</w:t>
      </w:r>
      <w:r w:rsidR="003E64F8" w:rsidRPr="000032A5">
        <w:t xml:space="preserve">-se aqui que a prática da exigência de comprovação de a empresa licitante ter executado, a qualquer tempo, os serviços de maior relevância técnica e financeira do objeto licitado, com quantitativos mínimos, é lícita e tem amparo na Lei </w:t>
      </w:r>
      <w:r w:rsidR="00565649" w:rsidRPr="000032A5">
        <w:t>14.133</w:t>
      </w:r>
      <w:r w:rsidR="003E64F8" w:rsidRPr="000032A5">
        <w:t>/</w:t>
      </w:r>
      <w:r w:rsidR="00565649" w:rsidRPr="000032A5">
        <w:t>21</w:t>
      </w:r>
      <w:r w:rsidR="003E64F8" w:rsidRPr="000032A5">
        <w:t>.</w:t>
      </w:r>
    </w:p>
    <w:p w14:paraId="54469F99" w14:textId="77777777" w:rsidR="00ED1818" w:rsidRDefault="00ED1818" w:rsidP="00620DD7">
      <w:pPr>
        <w:spacing w:after="120" w:line="240" w:lineRule="auto"/>
        <w:jc w:val="both"/>
        <w:rPr>
          <w:rFonts w:cstheme="minorHAnsi"/>
          <w:b/>
          <w:u w:val="single"/>
        </w:rPr>
      </w:pPr>
    </w:p>
    <w:p w14:paraId="1B8BE019" w14:textId="34D11605" w:rsidR="008275D6" w:rsidRDefault="005F1E64" w:rsidP="000032A5">
      <w:pPr>
        <w:pStyle w:val="Ttulo3"/>
        <w:spacing w:before="0"/>
      </w:pPr>
      <w:r w:rsidRPr="00147D7E">
        <w:t>4</w:t>
      </w:r>
      <w:r w:rsidR="008275D6" w:rsidRPr="00147D7E">
        <w:t>. CONSIDERAÇÕES FINAIS</w:t>
      </w:r>
    </w:p>
    <w:p w14:paraId="58FC2654" w14:textId="77777777" w:rsidR="00B25F0F" w:rsidRPr="00B25F0F" w:rsidRDefault="00B25F0F" w:rsidP="00B25F0F"/>
    <w:p w14:paraId="462BDB61" w14:textId="09DD9540" w:rsidR="008275D6" w:rsidRPr="00147D7E" w:rsidRDefault="008275D6" w:rsidP="000032A5">
      <w:pPr>
        <w:spacing w:after="120" w:line="240" w:lineRule="auto"/>
        <w:jc w:val="both"/>
        <w:rPr>
          <w:rFonts w:cstheme="minorHAnsi"/>
          <w:bCs/>
        </w:rPr>
      </w:pPr>
      <w:r w:rsidRPr="00147D7E">
        <w:rPr>
          <w:rFonts w:cstheme="minorHAnsi"/>
          <w:b/>
        </w:rPr>
        <w:tab/>
      </w:r>
      <w:r w:rsidRPr="00147D7E">
        <w:rPr>
          <w:rFonts w:cstheme="minorHAnsi"/>
          <w:bCs/>
        </w:rPr>
        <w:t>Fica o presente documento à disposição dos setores responsáveis para devida análise acerca da legalidade e o devido amparo legal para a forma de contratação indicada</w:t>
      </w:r>
      <w:r w:rsidR="00070F06" w:rsidRPr="00147D7E">
        <w:rPr>
          <w:rFonts w:cstheme="minorHAnsi"/>
          <w:bCs/>
        </w:rPr>
        <w:t>.</w:t>
      </w:r>
      <w:r w:rsidR="00A719A0" w:rsidRPr="00147D7E">
        <w:rPr>
          <w:rFonts w:cstheme="minorHAnsi"/>
          <w:bCs/>
        </w:rPr>
        <w:t xml:space="preserve"> </w:t>
      </w:r>
      <w:r w:rsidR="00521BCB" w:rsidRPr="00147D7E">
        <w:rPr>
          <w:rFonts w:cstheme="minorHAnsi"/>
          <w:bCs/>
        </w:rPr>
        <w:t>As planilhas</w:t>
      </w:r>
      <w:r w:rsidR="00070F06" w:rsidRPr="00147D7E">
        <w:rPr>
          <w:rFonts w:cstheme="minorHAnsi"/>
          <w:bCs/>
        </w:rPr>
        <w:t xml:space="preserve"> e projetos</w:t>
      </w:r>
      <w:r w:rsidR="00521BCB" w:rsidRPr="00147D7E">
        <w:rPr>
          <w:rFonts w:cstheme="minorHAnsi"/>
          <w:bCs/>
        </w:rPr>
        <w:t xml:space="preserve"> que regem o processo licitatório em questão seguem como anexo do processo integral.</w:t>
      </w:r>
    </w:p>
    <w:p w14:paraId="60ACC82B" w14:textId="0A66120D" w:rsidR="00620DD7" w:rsidRDefault="00A719A0" w:rsidP="00620DD7">
      <w:pPr>
        <w:spacing w:after="0" w:line="240" w:lineRule="auto"/>
        <w:jc w:val="both"/>
        <w:rPr>
          <w:rFonts w:cstheme="minorHAnsi"/>
          <w:bCs/>
        </w:rPr>
      </w:pPr>
      <w:r w:rsidRPr="00147D7E">
        <w:rPr>
          <w:rFonts w:cstheme="minorHAnsi"/>
          <w:bCs/>
        </w:rPr>
        <w:tab/>
        <w:t xml:space="preserve">Este documento contém </w:t>
      </w:r>
      <w:r w:rsidR="00B25F0F">
        <w:rPr>
          <w:rFonts w:cstheme="minorHAnsi"/>
          <w:bCs/>
        </w:rPr>
        <w:t>4</w:t>
      </w:r>
      <w:r w:rsidRPr="00147D7E">
        <w:rPr>
          <w:rFonts w:cstheme="minorHAnsi"/>
          <w:bCs/>
        </w:rPr>
        <w:t xml:space="preserve"> (</w:t>
      </w:r>
      <w:r w:rsidR="00B25F0F">
        <w:rPr>
          <w:rFonts w:cstheme="minorHAnsi"/>
          <w:bCs/>
        </w:rPr>
        <w:t>quatro</w:t>
      </w:r>
      <w:r w:rsidRPr="00147D7E">
        <w:rPr>
          <w:rFonts w:cstheme="minorHAnsi"/>
          <w:bCs/>
        </w:rPr>
        <w:t xml:space="preserve">) páginas impressas e foi elaborado pelo Eng. Civil </w:t>
      </w:r>
      <w:r w:rsidR="00516136">
        <w:rPr>
          <w:rFonts w:cstheme="minorHAnsi"/>
          <w:bCs/>
        </w:rPr>
        <w:t>Thalles Henrique Oliveira Ramos Cavalcanti</w:t>
      </w:r>
      <w:r w:rsidRPr="00147D7E">
        <w:rPr>
          <w:rFonts w:cstheme="minorHAnsi"/>
          <w:bCs/>
        </w:rPr>
        <w:t>, que o subscreve.</w:t>
      </w:r>
    </w:p>
    <w:p w14:paraId="06D83C18" w14:textId="77777777" w:rsidR="00565649" w:rsidRPr="00147D7E" w:rsidRDefault="00565649" w:rsidP="00620DD7">
      <w:pPr>
        <w:spacing w:after="0" w:line="240" w:lineRule="auto"/>
        <w:jc w:val="both"/>
        <w:rPr>
          <w:rFonts w:cstheme="minorHAnsi"/>
          <w:bCs/>
        </w:rPr>
      </w:pPr>
    </w:p>
    <w:p w14:paraId="692F845D" w14:textId="5EF5C7AA" w:rsidR="00DF0F70" w:rsidRPr="00147D7E" w:rsidRDefault="00DF0F70" w:rsidP="00620DD7">
      <w:pPr>
        <w:spacing w:after="0" w:line="240" w:lineRule="auto"/>
        <w:jc w:val="both"/>
        <w:rPr>
          <w:rFonts w:cstheme="minorHAnsi"/>
          <w:bCs/>
        </w:rPr>
      </w:pPr>
    </w:p>
    <w:p w14:paraId="15F9A378" w14:textId="77777777" w:rsidR="00DF0F70" w:rsidRPr="00147D7E" w:rsidRDefault="00DF0F70" w:rsidP="00620DD7">
      <w:pPr>
        <w:spacing w:after="0" w:line="240" w:lineRule="auto"/>
        <w:jc w:val="both"/>
        <w:rPr>
          <w:rFonts w:cstheme="minorHAnsi"/>
          <w:bCs/>
        </w:rPr>
      </w:pPr>
    </w:p>
    <w:p w14:paraId="3E3C39A2" w14:textId="77777777" w:rsidR="00620DD7" w:rsidRPr="00147D7E" w:rsidRDefault="00620DD7" w:rsidP="00620DD7">
      <w:pPr>
        <w:spacing w:after="0" w:line="240" w:lineRule="auto"/>
        <w:jc w:val="center"/>
        <w:rPr>
          <w:rFonts w:cstheme="minorHAnsi"/>
          <w:bCs/>
        </w:rPr>
      </w:pPr>
    </w:p>
    <w:p w14:paraId="2A575C1D" w14:textId="5F87FEFF" w:rsidR="00EE0EEC" w:rsidRPr="00147D7E" w:rsidRDefault="00EE0EEC" w:rsidP="00620DD7">
      <w:pPr>
        <w:spacing w:after="0" w:line="240" w:lineRule="auto"/>
        <w:jc w:val="center"/>
        <w:rPr>
          <w:rFonts w:cstheme="minorHAnsi"/>
        </w:rPr>
      </w:pPr>
      <w:r w:rsidRPr="00147D7E">
        <w:rPr>
          <w:rFonts w:cstheme="minorHAnsi"/>
        </w:rPr>
        <w:t>_________________________________</w:t>
      </w:r>
    </w:p>
    <w:p w14:paraId="2FE86805" w14:textId="6E4EB750" w:rsidR="00620DD7" w:rsidRPr="00147D7E" w:rsidRDefault="00BA03BD" w:rsidP="00EE0EEC">
      <w:pPr>
        <w:spacing w:after="0"/>
        <w:jc w:val="center"/>
        <w:rPr>
          <w:rFonts w:cstheme="minorHAnsi"/>
          <w:b/>
        </w:rPr>
      </w:pPr>
      <w:r>
        <w:rPr>
          <w:rFonts w:cstheme="minorHAnsi"/>
          <w:b/>
        </w:rPr>
        <w:t>Thalles Henrique Oliveira Ramos Cavalcanti</w:t>
      </w:r>
    </w:p>
    <w:p w14:paraId="5BEE2137" w14:textId="0E4E16E4" w:rsidR="00EE0EEC" w:rsidRPr="00147D7E" w:rsidRDefault="00EE0EEC" w:rsidP="00EE0EEC">
      <w:pPr>
        <w:spacing w:after="0"/>
        <w:jc w:val="center"/>
        <w:rPr>
          <w:rFonts w:cstheme="minorHAnsi"/>
        </w:rPr>
      </w:pPr>
      <w:r w:rsidRPr="00147D7E">
        <w:rPr>
          <w:rFonts w:cstheme="minorHAnsi"/>
        </w:rPr>
        <w:t>Eng. Civil CREA</w:t>
      </w:r>
      <w:r w:rsidR="001C612F" w:rsidRPr="00147D7E">
        <w:rPr>
          <w:rFonts w:cstheme="minorHAnsi"/>
        </w:rPr>
        <w:t>|PE</w:t>
      </w:r>
      <w:r w:rsidRPr="00147D7E">
        <w:rPr>
          <w:rFonts w:cstheme="minorHAnsi"/>
        </w:rPr>
        <w:t xml:space="preserve"> </w:t>
      </w:r>
      <w:r w:rsidR="0028424C" w:rsidRPr="00147D7E">
        <w:rPr>
          <w:rFonts w:cstheme="minorHAnsi"/>
        </w:rPr>
        <w:t>181</w:t>
      </w:r>
      <w:r w:rsidR="00BA03BD">
        <w:rPr>
          <w:rFonts w:cstheme="minorHAnsi"/>
        </w:rPr>
        <w:t>591437-8</w:t>
      </w:r>
    </w:p>
    <w:sectPr w:rsidR="00EE0EEC" w:rsidRPr="00147D7E" w:rsidSect="0069638F">
      <w:headerReference w:type="default" r:id="rId9"/>
      <w:footerReference w:type="default" r:id="rId10"/>
      <w:pgSz w:w="11906" w:h="16838"/>
      <w:pgMar w:top="2977" w:right="1080" w:bottom="1440" w:left="1080" w:header="708" w:footer="3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49B8D" w14:textId="77777777" w:rsidR="00A554DD" w:rsidRDefault="00A554DD" w:rsidP="00FF5197">
      <w:pPr>
        <w:spacing w:after="0" w:line="240" w:lineRule="auto"/>
      </w:pPr>
      <w:r>
        <w:separator/>
      </w:r>
    </w:p>
  </w:endnote>
  <w:endnote w:type="continuationSeparator" w:id="0">
    <w:p w14:paraId="38644D54" w14:textId="77777777" w:rsidR="00A554DD" w:rsidRDefault="00A554DD" w:rsidP="00FF5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107744"/>
      <w:docPartObj>
        <w:docPartGallery w:val="Page Numbers (Bottom of Page)"/>
        <w:docPartUnique/>
      </w:docPartObj>
    </w:sdtPr>
    <w:sdtContent>
      <w:p w14:paraId="11D24503" w14:textId="78D0B635" w:rsidR="009608AA" w:rsidRDefault="009608AA">
        <w:pPr>
          <w:pStyle w:val="Rodap"/>
          <w:jc w:val="right"/>
        </w:pPr>
        <w:r>
          <w:fldChar w:fldCharType="begin"/>
        </w:r>
        <w:r>
          <w:instrText>PAGE   \* MERGEFORMAT</w:instrText>
        </w:r>
        <w:r>
          <w:fldChar w:fldCharType="separate"/>
        </w:r>
        <w:r>
          <w:t>2</w:t>
        </w:r>
        <w:r>
          <w:fldChar w:fldCharType="end"/>
        </w:r>
      </w:p>
    </w:sdtContent>
  </w:sdt>
  <w:p w14:paraId="7065B5AE" w14:textId="11F8D0B9" w:rsidR="00DF0F70" w:rsidRPr="00B6036C" w:rsidRDefault="00DF0F70" w:rsidP="00DF0F70">
    <w:pPr>
      <w:pStyle w:val="Rodap"/>
      <w:jc w:val="center"/>
      <w:rPr>
        <w:sz w:val="20"/>
        <w:szCs w:val="20"/>
      </w:rPr>
    </w:pPr>
    <w:r w:rsidRPr="00B6036C">
      <w:rPr>
        <w:sz w:val="20"/>
        <w:szCs w:val="20"/>
      </w:rPr>
      <w:t xml:space="preserve">Rua </w:t>
    </w:r>
    <w:r w:rsidR="00126C5D">
      <w:rPr>
        <w:sz w:val="20"/>
        <w:szCs w:val="20"/>
      </w:rPr>
      <w:t>Afonso Arinos de Melo Franco</w:t>
    </w:r>
    <w:r w:rsidRPr="00B6036C">
      <w:rPr>
        <w:sz w:val="20"/>
        <w:szCs w:val="20"/>
      </w:rPr>
      <w:t xml:space="preserve">, </w:t>
    </w:r>
    <w:r w:rsidR="00126C5D">
      <w:rPr>
        <w:sz w:val="20"/>
        <w:szCs w:val="20"/>
      </w:rPr>
      <w:t>SN</w:t>
    </w:r>
    <w:r w:rsidRPr="00B6036C">
      <w:rPr>
        <w:sz w:val="20"/>
        <w:szCs w:val="20"/>
      </w:rPr>
      <w:t xml:space="preserve"> –</w:t>
    </w:r>
    <w:r w:rsidR="00C74519">
      <w:rPr>
        <w:sz w:val="20"/>
        <w:szCs w:val="20"/>
      </w:rPr>
      <w:t xml:space="preserve"> </w:t>
    </w:r>
    <w:r w:rsidR="00126C5D">
      <w:rPr>
        <w:sz w:val="20"/>
        <w:szCs w:val="20"/>
      </w:rPr>
      <w:t>Isabel Gomes</w:t>
    </w:r>
    <w:r w:rsidRPr="00B6036C">
      <w:rPr>
        <w:sz w:val="20"/>
        <w:szCs w:val="20"/>
      </w:rPr>
      <w:t xml:space="preserve"> – Afrânio-PE.</w:t>
    </w:r>
  </w:p>
  <w:p w14:paraId="08F7D47E" w14:textId="367D624D" w:rsidR="00DF0F70" w:rsidRPr="00B6036C" w:rsidRDefault="00DF0F70" w:rsidP="00DF0F70">
    <w:pPr>
      <w:pStyle w:val="Rodap"/>
      <w:jc w:val="center"/>
      <w:rPr>
        <w:sz w:val="20"/>
        <w:szCs w:val="20"/>
      </w:rPr>
    </w:pPr>
    <w:r w:rsidRPr="00B6036C">
      <w:rPr>
        <w:sz w:val="20"/>
        <w:szCs w:val="20"/>
      </w:rPr>
      <w:t xml:space="preserve">CNPJ: </w:t>
    </w:r>
    <w:r w:rsidR="00126C5D">
      <w:rPr>
        <w:sz w:val="20"/>
        <w:szCs w:val="20"/>
      </w:rPr>
      <w:t>10.358.174/0001-84</w:t>
    </w:r>
  </w:p>
  <w:p w14:paraId="269F980D" w14:textId="77777777" w:rsidR="00DF0F70" w:rsidRPr="00FF5197" w:rsidRDefault="00DF0F70" w:rsidP="00DF0F70">
    <w:pPr>
      <w:pStyle w:val="Rodap"/>
      <w:jc w:val="center"/>
    </w:pPr>
    <w:r w:rsidRPr="00B6036C">
      <w:rPr>
        <w:sz w:val="20"/>
        <w:szCs w:val="20"/>
      </w:rPr>
      <w:t>Telefones: (87) 3868-1054 / 3868-1038</w:t>
    </w:r>
  </w:p>
  <w:p w14:paraId="76D5B088" w14:textId="613CB12B" w:rsidR="009608AA" w:rsidRPr="00FF5197" w:rsidRDefault="009608AA" w:rsidP="009608AA">
    <w:pPr>
      <w:pStyle w:val="Rodap"/>
      <w:jc w:val="center"/>
    </w:pPr>
  </w:p>
  <w:p w14:paraId="2F1C52AB" w14:textId="0CDCE88E" w:rsidR="00FF5197" w:rsidRPr="00FF5197" w:rsidRDefault="00FF5197" w:rsidP="00FF5197">
    <w:pPr>
      <w:pStyle w:val="Rodap"/>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A7CCF" w14:textId="77777777" w:rsidR="00A554DD" w:rsidRDefault="00A554DD" w:rsidP="00FF5197">
      <w:pPr>
        <w:spacing w:after="0" w:line="240" w:lineRule="auto"/>
      </w:pPr>
      <w:r>
        <w:separator/>
      </w:r>
    </w:p>
  </w:footnote>
  <w:footnote w:type="continuationSeparator" w:id="0">
    <w:p w14:paraId="5BE1764F" w14:textId="77777777" w:rsidR="00A554DD" w:rsidRDefault="00A554DD" w:rsidP="00FF51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AB130" w14:textId="06393281" w:rsidR="00FF5197" w:rsidRDefault="006A604F" w:rsidP="006A604F">
    <w:pPr>
      <w:pStyle w:val="Cabealho"/>
      <w:jc w:val="center"/>
    </w:pPr>
    <w:r>
      <w:rPr>
        <w:noProof/>
      </w:rPr>
      <w:drawing>
        <wp:inline distT="0" distB="0" distL="0" distR="0" wp14:anchorId="5B532287" wp14:editId="6D3AE3CD">
          <wp:extent cx="1675664" cy="1143000"/>
          <wp:effectExtent l="0" t="0" r="1270" b="0"/>
          <wp:docPr id="581031138" name="Imagem 1"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11198" name="Imagem 1" descr="Logotipo, nome da empresa&#10;&#10;Descrição gerada automaticamente"/>
                  <pic:cNvPicPr/>
                </pic:nvPicPr>
                <pic:blipFill rotWithShape="1">
                  <a:blip r:embed="rId1">
                    <a:extLst>
                      <a:ext uri="{28A0092B-C50C-407E-A947-70E740481C1C}">
                        <a14:useLocalDpi xmlns:a14="http://schemas.microsoft.com/office/drawing/2010/main" val="0"/>
                      </a:ext>
                    </a:extLst>
                  </a:blip>
                  <a:srcRect b="6591"/>
                  <a:stretch/>
                </pic:blipFill>
                <pic:spPr bwMode="auto">
                  <a:xfrm>
                    <a:off x="0" y="0"/>
                    <a:ext cx="1682166" cy="114743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D42D4"/>
    <w:multiLevelType w:val="hybridMultilevel"/>
    <w:tmpl w:val="F61E63F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4BB7CC6"/>
    <w:multiLevelType w:val="hybridMultilevel"/>
    <w:tmpl w:val="B002C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82C7637"/>
    <w:multiLevelType w:val="hybridMultilevel"/>
    <w:tmpl w:val="72FE11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8732359"/>
    <w:multiLevelType w:val="hybridMultilevel"/>
    <w:tmpl w:val="A98864FA"/>
    <w:lvl w:ilvl="0" w:tplc="8FDA2402">
      <w:start w:val="1"/>
      <w:numFmt w:val="lowerLetter"/>
      <w:lvlText w:val="%1)"/>
      <w:lvlJc w:val="left"/>
      <w:pPr>
        <w:ind w:left="3762" w:hanging="360"/>
      </w:pPr>
      <w:rPr>
        <w:rFonts w:hint="default"/>
      </w:rPr>
    </w:lvl>
    <w:lvl w:ilvl="1" w:tplc="04160019" w:tentative="1">
      <w:start w:val="1"/>
      <w:numFmt w:val="lowerLetter"/>
      <w:lvlText w:val="%2."/>
      <w:lvlJc w:val="left"/>
      <w:pPr>
        <w:ind w:left="4482" w:hanging="360"/>
      </w:pPr>
    </w:lvl>
    <w:lvl w:ilvl="2" w:tplc="0416001B" w:tentative="1">
      <w:start w:val="1"/>
      <w:numFmt w:val="lowerRoman"/>
      <w:lvlText w:val="%3."/>
      <w:lvlJc w:val="right"/>
      <w:pPr>
        <w:ind w:left="5202" w:hanging="180"/>
      </w:pPr>
    </w:lvl>
    <w:lvl w:ilvl="3" w:tplc="0416000F" w:tentative="1">
      <w:start w:val="1"/>
      <w:numFmt w:val="decimal"/>
      <w:lvlText w:val="%4."/>
      <w:lvlJc w:val="left"/>
      <w:pPr>
        <w:ind w:left="5922" w:hanging="360"/>
      </w:pPr>
    </w:lvl>
    <w:lvl w:ilvl="4" w:tplc="04160019" w:tentative="1">
      <w:start w:val="1"/>
      <w:numFmt w:val="lowerLetter"/>
      <w:lvlText w:val="%5."/>
      <w:lvlJc w:val="left"/>
      <w:pPr>
        <w:ind w:left="6642" w:hanging="360"/>
      </w:pPr>
    </w:lvl>
    <w:lvl w:ilvl="5" w:tplc="0416001B" w:tentative="1">
      <w:start w:val="1"/>
      <w:numFmt w:val="lowerRoman"/>
      <w:lvlText w:val="%6."/>
      <w:lvlJc w:val="right"/>
      <w:pPr>
        <w:ind w:left="7362" w:hanging="180"/>
      </w:pPr>
    </w:lvl>
    <w:lvl w:ilvl="6" w:tplc="0416000F" w:tentative="1">
      <w:start w:val="1"/>
      <w:numFmt w:val="decimal"/>
      <w:lvlText w:val="%7."/>
      <w:lvlJc w:val="left"/>
      <w:pPr>
        <w:ind w:left="8082" w:hanging="360"/>
      </w:pPr>
    </w:lvl>
    <w:lvl w:ilvl="7" w:tplc="04160019" w:tentative="1">
      <w:start w:val="1"/>
      <w:numFmt w:val="lowerLetter"/>
      <w:lvlText w:val="%8."/>
      <w:lvlJc w:val="left"/>
      <w:pPr>
        <w:ind w:left="8802" w:hanging="360"/>
      </w:pPr>
    </w:lvl>
    <w:lvl w:ilvl="8" w:tplc="0416001B" w:tentative="1">
      <w:start w:val="1"/>
      <w:numFmt w:val="lowerRoman"/>
      <w:lvlText w:val="%9."/>
      <w:lvlJc w:val="right"/>
      <w:pPr>
        <w:ind w:left="9522" w:hanging="180"/>
      </w:pPr>
    </w:lvl>
  </w:abstractNum>
  <w:abstractNum w:abstractNumId="4" w15:restartNumberingAfterBreak="0">
    <w:nsid w:val="1D4E6A53"/>
    <w:multiLevelType w:val="hybridMultilevel"/>
    <w:tmpl w:val="7024A1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0215852"/>
    <w:multiLevelType w:val="hybridMultilevel"/>
    <w:tmpl w:val="FDF439B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15:restartNumberingAfterBreak="0">
    <w:nsid w:val="311D55FC"/>
    <w:multiLevelType w:val="hybridMultilevel"/>
    <w:tmpl w:val="FE905CC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1D01CAA"/>
    <w:multiLevelType w:val="hybridMultilevel"/>
    <w:tmpl w:val="A372B7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ABB297F"/>
    <w:multiLevelType w:val="hybridMultilevel"/>
    <w:tmpl w:val="5FCC7A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A4A046F"/>
    <w:multiLevelType w:val="hybridMultilevel"/>
    <w:tmpl w:val="8398CB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DC92124"/>
    <w:multiLevelType w:val="hybridMultilevel"/>
    <w:tmpl w:val="25F69AEC"/>
    <w:lvl w:ilvl="0" w:tplc="04160001">
      <w:start w:val="1"/>
      <w:numFmt w:val="bullet"/>
      <w:lvlText w:val=""/>
      <w:lvlJc w:val="left"/>
      <w:pPr>
        <w:ind w:left="1776" w:hanging="360"/>
      </w:pPr>
      <w:rPr>
        <w:rFonts w:ascii="Symbol" w:hAnsi="Symbol"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11" w15:restartNumberingAfterBreak="0">
    <w:nsid w:val="6D63509E"/>
    <w:multiLevelType w:val="hybridMultilevel"/>
    <w:tmpl w:val="0BAAE32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70DF5ECA"/>
    <w:multiLevelType w:val="hybridMultilevel"/>
    <w:tmpl w:val="2DFC6AF0"/>
    <w:lvl w:ilvl="0" w:tplc="86E2288E">
      <w:start w:val="1"/>
      <w:numFmt w:val="lowerLetter"/>
      <w:lvlText w:val="%1)"/>
      <w:lvlJc w:val="left"/>
      <w:pPr>
        <w:ind w:left="4122" w:hanging="360"/>
      </w:pPr>
      <w:rPr>
        <w:rFonts w:hint="default"/>
        <w:sz w:val="22"/>
      </w:rPr>
    </w:lvl>
    <w:lvl w:ilvl="1" w:tplc="04160019" w:tentative="1">
      <w:start w:val="1"/>
      <w:numFmt w:val="lowerLetter"/>
      <w:lvlText w:val="%2."/>
      <w:lvlJc w:val="left"/>
      <w:pPr>
        <w:ind w:left="4842" w:hanging="360"/>
      </w:pPr>
    </w:lvl>
    <w:lvl w:ilvl="2" w:tplc="0416001B" w:tentative="1">
      <w:start w:val="1"/>
      <w:numFmt w:val="lowerRoman"/>
      <w:lvlText w:val="%3."/>
      <w:lvlJc w:val="right"/>
      <w:pPr>
        <w:ind w:left="5562" w:hanging="180"/>
      </w:pPr>
    </w:lvl>
    <w:lvl w:ilvl="3" w:tplc="0416000F" w:tentative="1">
      <w:start w:val="1"/>
      <w:numFmt w:val="decimal"/>
      <w:lvlText w:val="%4."/>
      <w:lvlJc w:val="left"/>
      <w:pPr>
        <w:ind w:left="6282" w:hanging="360"/>
      </w:pPr>
    </w:lvl>
    <w:lvl w:ilvl="4" w:tplc="04160019" w:tentative="1">
      <w:start w:val="1"/>
      <w:numFmt w:val="lowerLetter"/>
      <w:lvlText w:val="%5."/>
      <w:lvlJc w:val="left"/>
      <w:pPr>
        <w:ind w:left="7002" w:hanging="360"/>
      </w:pPr>
    </w:lvl>
    <w:lvl w:ilvl="5" w:tplc="0416001B" w:tentative="1">
      <w:start w:val="1"/>
      <w:numFmt w:val="lowerRoman"/>
      <w:lvlText w:val="%6."/>
      <w:lvlJc w:val="right"/>
      <w:pPr>
        <w:ind w:left="7722" w:hanging="180"/>
      </w:pPr>
    </w:lvl>
    <w:lvl w:ilvl="6" w:tplc="0416000F" w:tentative="1">
      <w:start w:val="1"/>
      <w:numFmt w:val="decimal"/>
      <w:lvlText w:val="%7."/>
      <w:lvlJc w:val="left"/>
      <w:pPr>
        <w:ind w:left="8442" w:hanging="360"/>
      </w:pPr>
    </w:lvl>
    <w:lvl w:ilvl="7" w:tplc="04160019" w:tentative="1">
      <w:start w:val="1"/>
      <w:numFmt w:val="lowerLetter"/>
      <w:lvlText w:val="%8."/>
      <w:lvlJc w:val="left"/>
      <w:pPr>
        <w:ind w:left="9162" w:hanging="360"/>
      </w:pPr>
    </w:lvl>
    <w:lvl w:ilvl="8" w:tplc="0416001B" w:tentative="1">
      <w:start w:val="1"/>
      <w:numFmt w:val="lowerRoman"/>
      <w:lvlText w:val="%9."/>
      <w:lvlJc w:val="right"/>
      <w:pPr>
        <w:ind w:left="9882" w:hanging="180"/>
      </w:pPr>
    </w:lvl>
  </w:abstractNum>
  <w:abstractNum w:abstractNumId="13" w15:restartNumberingAfterBreak="0">
    <w:nsid w:val="711B6E1C"/>
    <w:multiLevelType w:val="hybridMultilevel"/>
    <w:tmpl w:val="FA18358A"/>
    <w:lvl w:ilvl="0" w:tplc="BF26A094">
      <w:start w:val="3"/>
      <w:numFmt w:val="bullet"/>
      <w:lvlText w:val=""/>
      <w:lvlJc w:val="left"/>
      <w:pPr>
        <w:ind w:left="1068" w:hanging="360"/>
      </w:pPr>
      <w:rPr>
        <w:rFonts w:ascii="Symbol" w:eastAsiaTheme="minorHAnsi" w:hAnsi="Symbol" w:cstheme="minorBidi"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4" w15:restartNumberingAfterBreak="0">
    <w:nsid w:val="75A46B53"/>
    <w:multiLevelType w:val="hybridMultilevel"/>
    <w:tmpl w:val="7DBE773A"/>
    <w:lvl w:ilvl="0" w:tplc="4A3C541E">
      <w:start w:val="11"/>
      <w:numFmt w:val="bullet"/>
      <w:lvlText w:val=""/>
      <w:lvlJc w:val="left"/>
      <w:pPr>
        <w:ind w:left="720" w:hanging="360"/>
      </w:pPr>
      <w:rPr>
        <w:rFonts w:ascii="Symbol" w:eastAsiaTheme="minorEastAsia" w:hAnsi="Symbol" w:cstheme="minorHAns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82405355">
    <w:abstractNumId w:val="1"/>
  </w:num>
  <w:num w:numId="2" w16cid:durableId="1028720541">
    <w:abstractNumId w:val="7"/>
  </w:num>
  <w:num w:numId="3" w16cid:durableId="1988699258">
    <w:abstractNumId w:val="2"/>
  </w:num>
  <w:num w:numId="4" w16cid:durableId="1911962144">
    <w:abstractNumId w:val="6"/>
  </w:num>
  <w:num w:numId="5" w16cid:durableId="597367291">
    <w:abstractNumId w:val="3"/>
  </w:num>
  <w:num w:numId="6" w16cid:durableId="446702956">
    <w:abstractNumId w:val="12"/>
  </w:num>
  <w:num w:numId="7" w16cid:durableId="1590651224">
    <w:abstractNumId w:val="4"/>
  </w:num>
  <w:num w:numId="8" w16cid:durableId="753206312">
    <w:abstractNumId w:val="11"/>
  </w:num>
  <w:num w:numId="9" w16cid:durableId="834881226">
    <w:abstractNumId w:val="10"/>
  </w:num>
  <w:num w:numId="10" w16cid:durableId="1559826136">
    <w:abstractNumId w:val="5"/>
  </w:num>
  <w:num w:numId="11" w16cid:durableId="1603145255">
    <w:abstractNumId w:val="8"/>
  </w:num>
  <w:num w:numId="12" w16cid:durableId="577248976">
    <w:abstractNumId w:val="0"/>
  </w:num>
  <w:num w:numId="13" w16cid:durableId="808327343">
    <w:abstractNumId w:val="9"/>
  </w:num>
  <w:num w:numId="14" w16cid:durableId="391001621">
    <w:abstractNumId w:val="14"/>
  </w:num>
  <w:num w:numId="15" w16cid:durableId="19710160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197"/>
    <w:rsid w:val="000032A5"/>
    <w:rsid w:val="00007D2C"/>
    <w:rsid w:val="00010C5D"/>
    <w:rsid w:val="000134CB"/>
    <w:rsid w:val="000177DE"/>
    <w:rsid w:val="000207EB"/>
    <w:rsid w:val="0002116D"/>
    <w:rsid w:val="00027497"/>
    <w:rsid w:val="000306EE"/>
    <w:rsid w:val="0003426A"/>
    <w:rsid w:val="000356E5"/>
    <w:rsid w:val="000674FD"/>
    <w:rsid w:val="00070F06"/>
    <w:rsid w:val="0007108C"/>
    <w:rsid w:val="00085A0D"/>
    <w:rsid w:val="000940E1"/>
    <w:rsid w:val="000A01EB"/>
    <w:rsid w:val="000A55A0"/>
    <w:rsid w:val="000A5621"/>
    <w:rsid w:val="000A6A12"/>
    <w:rsid w:val="000E302E"/>
    <w:rsid w:val="000E48D7"/>
    <w:rsid w:val="00122BE5"/>
    <w:rsid w:val="00126C5D"/>
    <w:rsid w:val="00127F0A"/>
    <w:rsid w:val="00133F51"/>
    <w:rsid w:val="00134CAF"/>
    <w:rsid w:val="00137E6E"/>
    <w:rsid w:val="00143EC1"/>
    <w:rsid w:val="001478C2"/>
    <w:rsid w:val="00147D7E"/>
    <w:rsid w:val="001504A5"/>
    <w:rsid w:val="0015064D"/>
    <w:rsid w:val="00157BBA"/>
    <w:rsid w:val="00163FBA"/>
    <w:rsid w:val="00172B5D"/>
    <w:rsid w:val="001762AD"/>
    <w:rsid w:val="00180899"/>
    <w:rsid w:val="001B2F20"/>
    <w:rsid w:val="001B4FD9"/>
    <w:rsid w:val="001B5649"/>
    <w:rsid w:val="001C0B35"/>
    <w:rsid w:val="001C4782"/>
    <w:rsid w:val="001C612F"/>
    <w:rsid w:val="001C69AE"/>
    <w:rsid w:val="001D3A44"/>
    <w:rsid w:val="001D4055"/>
    <w:rsid w:val="001E02AD"/>
    <w:rsid w:val="001E0EB4"/>
    <w:rsid w:val="001E2681"/>
    <w:rsid w:val="001E56D8"/>
    <w:rsid w:val="001E7DEA"/>
    <w:rsid w:val="001F0464"/>
    <w:rsid w:val="001F1A43"/>
    <w:rsid w:val="002319B7"/>
    <w:rsid w:val="00236F62"/>
    <w:rsid w:val="00250D97"/>
    <w:rsid w:val="002526E4"/>
    <w:rsid w:val="00257630"/>
    <w:rsid w:val="002657E9"/>
    <w:rsid w:val="00277784"/>
    <w:rsid w:val="002817B6"/>
    <w:rsid w:val="0028424C"/>
    <w:rsid w:val="00287035"/>
    <w:rsid w:val="0028789A"/>
    <w:rsid w:val="00291AF5"/>
    <w:rsid w:val="002D1451"/>
    <w:rsid w:val="002F08BB"/>
    <w:rsid w:val="002F2A30"/>
    <w:rsid w:val="002F2E7E"/>
    <w:rsid w:val="003046E5"/>
    <w:rsid w:val="003157E1"/>
    <w:rsid w:val="00316744"/>
    <w:rsid w:val="00321EC0"/>
    <w:rsid w:val="003244F6"/>
    <w:rsid w:val="00325502"/>
    <w:rsid w:val="003304B6"/>
    <w:rsid w:val="003308E8"/>
    <w:rsid w:val="00340945"/>
    <w:rsid w:val="0035071B"/>
    <w:rsid w:val="00360987"/>
    <w:rsid w:val="003633FF"/>
    <w:rsid w:val="00366813"/>
    <w:rsid w:val="0038544D"/>
    <w:rsid w:val="00386C6A"/>
    <w:rsid w:val="00387D00"/>
    <w:rsid w:val="003A28C6"/>
    <w:rsid w:val="003C2840"/>
    <w:rsid w:val="003D2D5E"/>
    <w:rsid w:val="003E64F8"/>
    <w:rsid w:val="004023B1"/>
    <w:rsid w:val="00430215"/>
    <w:rsid w:val="0043252E"/>
    <w:rsid w:val="004333B5"/>
    <w:rsid w:val="0043755A"/>
    <w:rsid w:val="004376F9"/>
    <w:rsid w:val="00446272"/>
    <w:rsid w:val="00460206"/>
    <w:rsid w:val="00461B01"/>
    <w:rsid w:val="00464EF0"/>
    <w:rsid w:val="00476054"/>
    <w:rsid w:val="00480322"/>
    <w:rsid w:val="004917C2"/>
    <w:rsid w:val="004A171E"/>
    <w:rsid w:val="004A3418"/>
    <w:rsid w:val="004B04DA"/>
    <w:rsid w:val="004C68E7"/>
    <w:rsid w:val="004F10B9"/>
    <w:rsid w:val="004F2634"/>
    <w:rsid w:val="00516136"/>
    <w:rsid w:val="00521BCB"/>
    <w:rsid w:val="0054149F"/>
    <w:rsid w:val="00565649"/>
    <w:rsid w:val="00565A88"/>
    <w:rsid w:val="00565B8B"/>
    <w:rsid w:val="0057435E"/>
    <w:rsid w:val="00577D62"/>
    <w:rsid w:val="00581A82"/>
    <w:rsid w:val="005906BB"/>
    <w:rsid w:val="005B6C79"/>
    <w:rsid w:val="005B7806"/>
    <w:rsid w:val="005C1F95"/>
    <w:rsid w:val="005C5B1F"/>
    <w:rsid w:val="005E606A"/>
    <w:rsid w:val="005F1E64"/>
    <w:rsid w:val="006003DE"/>
    <w:rsid w:val="0061448D"/>
    <w:rsid w:val="00620DD7"/>
    <w:rsid w:val="00623F5F"/>
    <w:rsid w:val="00662D1F"/>
    <w:rsid w:val="006708B9"/>
    <w:rsid w:val="0068282B"/>
    <w:rsid w:val="00684036"/>
    <w:rsid w:val="00690DE1"/>
    <w:rsid w:val="0069638F"/>
    <w:rsid w:val="0069743F"/>
    <w:rsid w:val="006A604F"/>
    <w:rsid w:val="006C255E"/>
    <w:rsid w:val="006C7BBB"/>
    <w:rsid w:val="006E040E"/>
    <w:rsid w:val="006F7505"/>
    <w:rsid w:val="007025C4"/>
    <w:rsid w:val="007136CA"/>
    <w:rsid w:val="007340A8"/>
    <w:rsid w:val="007415E6"/>
    <w:rsid w:val="007509E0"/>
    <w:rsid w:val="007518A8"/>
    <w:rsid w:val="00780633"/>
    <w:rsid w:val="007830F2"/>
    <w:rsid w:val="00792C44"/>
    <w:rsid w:val="007C2CEE"/>
    <w:rsid w:val="007C5ADA"/>
    <w:rsid w:val="007D5C06"/>
    <w:rsid w:val="007F19D8"/>
    <w:rsid w:val="00800D0F"/>
    <w:rsid w:val="00802686"/>
    <w:rsid w:val="00804A87"/>
    <w:rsid w:val="008131F7"/>
    <w:rsid w:val="008232F2"/>
    <w:rsid w:val="008275D6"/>
    <w:rsid w:val="00884B77"/>
    <w:rsid w:val="008A1CBA"/>
    <w:rsid w:val="008A3342"/>
    <w:rsid w:val="008C0402"/>
    <w:rsid w:val="008C4998"/>
    <w:rsid w:val="008F7C43"/>
    <w:rsid w:val="00900AF4"/>
    <w:rsid w:val="00904B04"/>
    <w:rsid w:val="00926BE0"/>
    <w:rsid w:val="00934547"/>
    <w:rsid w:val="009352B4"/>
    <w:rsid w:val="00951D34"/>
    <w:rsid w:val="0095395D"/>
    <w:rsid w:val="009608AA"/>
    <w:rsid w:val="00963C71"/>
    <w:rsid w:val="00975795"/>
    <w:rsid w:val="00982C87"/>
    <w:rsid w:val="0099383E"/>
    <w:rsid w:val="00995DC6"/>
    <w:rsid w:val="009A2961"/>
    <w:rsid w:val="009B3DE3"/>
    <w:rsid w:val="009B760E"/>
    <w:rsid w:val="009E2149"/>
    <w:rsid w:val="009E30E4"/>
    <w:rsid w:val="009E3F40"/>
    <w:rsid w:val="00A044E3"/>
    <w:rsid w:val="00A077DA"/>
    <w:rsid w:val="00A23AEE"/>
    <w:rsid w:val="00A2413E"/>
    <w:rsid w:val="00A26C63"/>
    <w:rsid w:val="00A3033E"/>
    <w:rsid w:val="00A3387F"/>
    <w:rsid w:val="00A53F6D"/>
    <w:rsid w:val="00A554DD"/>
    <w:rsid w:val="00A5745C"/>
    <w:rsid w:val="00A63F0C"/>
    <w:rsid w:val="00A6540C"/>
    <w:rsid w:val="00A719A0"/>
    <w:rsid w:val="00A763EE"/>
    <w:rsid w:val="00A82A60"/>
    <w:rsid w:val="00A90BF4"/>
    <w:rsid w:val="00A95800"/>
    <w:rsid w:val="00AA56AD"/>
    <w:rsid w:val="00AB13F2"/>
    <w:rsid w:val="00AB268A"/>
    <w:rsid w:val="00AB2EAF"/>
    <w:rsid w:val="00AB538F"/>
    <w:rsid w:val="00AB547A"/>
    <w:rsid w:val="00AC0160"/>
    <w:rsid w:val="00AC052F"/>
    <w:rsid w:val="00AC2FE0"/>
    <w:rsid w:val="00AC42FB"/>
    <w:rsid w:val="00B25F0F"/>
    <w:rsid w:val="00B441EB"/>
    <w:rsid w:val="00B54AE0"/>
    <w:rsid w:val="00B55126"/>
    <w:rsid w:val="00B56C09"/>
    <w:rsid w:val="00B62227"/>
    <w:rsid w:val="00B717D1"/>
    <w:rsid w:val="00B7481D"/>
    <w:rsid w:val="00B74E99"/>
    <w:rsid w:val="00B76911"/>
    <w:rsid w:val="00B84538"/>
    <w:rsid w:val="00B849EC"/>
    <w:rsid w:val="00B871F9"/>
    <w:rsid w:val="00B9447C"/>
    <w:rsid w:val="00BA03BD"/>
    <w:rsid w:val="00BA6FA8"/>
    <w:rsid w:val="00BB5EE3"/>
    <w:rsid w:val="00BB62BA"/>
    <w:rsid w:val="00BE01C0"/>
    <w:rsid w:val="00BE3863"/>
    <w:rsid w:val="00C0039E"/>
    <w:rsid w:val="00C1018F"/>
    <w:rsid w:val="00C74519"/>
    <w:rsid w:val="00C87827"/>
    <w:rsid w:val="00C93D3C"/>
    <w:rsid w:val="00C9631C"/>
    <w:rsid w:val="00CB19E0"/>
    <w:rsid w:val="00CB1A1C"/>
    <w:rsid w:val="00CC02E6"/>
    <w:rsid w:val="00CC506E"/>
    <w:rsid w:val="00CD6888"/>
    <w:rsid w:val="00CF5B71"/>
    <w:rsid w:val="00CF5CE6"/>
    <w:rsid w:val="00D15B51"/>
    <w:rsid w:val="00D163F2"/>
    <w:rsid w:val="00D26616"/>
    <w:rsid w:val="00D40DBB"/>
    <w:rsid w:val="00D421FF"/>
    <w:rsid w:val="00D553E5"/>
    <w:rsid w:val="00D571A1"/>
    <w:rsid w:val="00D57F05"/>
    <w:rsid w:val="00D60360"/>
    <w:rsid w:val="00D63449"/>
    <w:rsid w:val="00D63FE3"/>
    <w:rsid w:val="00D80322"/>
    <w:rsid w:val="00D8292C"/>
    <w:rsid w:val="00D873CA"/>
    <w:rsid w:val="00D927F3"/>
    <w:rsid w:val="00D97534"/>
    <w:rsid w:val="00DA0B90"/>
    <w:rsid w:val="00DA2CC1"/>
    <w:rsid w:val="00DA74C7"/>
    <w:rsid w:val="00DB1DA6"/>
    <w:rsid w:val="00DC283C"/>
    <w:rsid w:val="00DC33B7"/>
    <w:rsid w:val="00DD5640"/>
    <w:rsid w:val="00DD6616"/>
    <w:rsid w:val="00DE3C5B"/>
    <w:rsid w:val="00DF0F70"/>
    <w:rsid w:val="00DF2901"/>
    <w:rsid w:val="00E4134F"/>
    <w:rsid w:val="00E41D1D"/>
    <w:rsid w:val="00E541E6"/>
    <w:rsid w:val="00E73F3D"/>
    <w:rsid w:val="00E82832"/>
    <w:rsid w:val="00E8679C"/>
    <w:rsid w:val="00E921FF"/>
    <w:rsid w:val="00E92BDC"/>
    <w:rsid w:val="00E96A15"/>
    <w:rsid w:val="00EB0366"/>
    <w:rsid w:val="00EB55C2"/>
    <w:rsid w:val="00EC38C1"/>
    <w:rsid w:val="00EC52AB"/>
    <w:rsid w:val="00ED0885"/>
    <w:rsid w:val="00ED1818"/>
    <w:rsid w:val="00ED2A56"/>
    <w:rsid w:val="00ED2E91"/>
    <w:rsid w:val="00EE0EEC"/>
    <w:rsid w:val="00EE1507"/>
    <w:rsid w:val="00EF1E82"/>
    <w:rsid w:val="00EF6D03"/>
    <w:rsid w:val="00F16E0B"/>
    <w:rsid w:val="00F22794"/>
    <w:rsid w:val="00F253E8"/>
    <w:rsid w:val="00F30FAF"/>
    <w:rsid w:val="00F36BF2"/>
    <w:rsid w:val="00F50F62"/>
    <w:rsid w:val="00F66A80"/>
    <w:rsid w:val="00F71104"/>
    <w:rsid w:val="00F90073"/>
    <w:rsid w:val="00FA2397"/>
    <w:rsid w:val="00FF057B"/>
    <w:rsid w:val="00FF5197"/>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69C11"/>
  <w15:chartTrackingRefBased/>
  <w15:docId w15:val="{C7B4BAF1-E537-42D6-802E-79B44399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next w:val="Normal"/>
    <w:link w:val="Ttulo2Char"/>
    <w:uiPriority w:val="9"/>
    <w:unhideWhenUsed/>
    <w:qFormat/>
    <w:rsid w:val="004A34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BB5EE3"/>
    <w:pPr>
      <w:keepNext/>
      <w:keepLines/>
      <w:spacing w:before="40" w:after="0"/>
      <w:outlineLvl w:val="2"/>
    </w:pPr>
    <w:rPr>
      <w:rFonts w:eastAsiaTheme="majorEastAsia" w:cstheme="majorBidi"/>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F519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F5197"/>
  </w:style>
  <w:style w:type="paragraph" w:styleId="Rodap">
    <w:name w:val="footer"/>
    <w:basedOn w:val="Normal"/>
    <w:link w:val="RodapChar"/>
    <w:uiPriority w:val="99"/>
    <w:unhideWhenUsed/>
    <w:rsid w:val="00FF5197"/>
    <w:pPr>
      <w:tabs>
        <w:tab w:val="center" w:pos="4252"/>
        <w:tab w:val="right" w:pos="8504"/>
      </w:tabs>
      <w:spacing w:after="0" w:line="240" w:lineRule="auto"/>
    </w:pPr>
  </w:style>
  <w:style w:type="character" w:customStyle="1" w:styleId="RodapChar">
    <w:name w:val="Rodapé Char"/>
    <w:basedOn w:val="Fontepargpadro"/>
    <w:link w:val="Rodap"/>
    <w:uiPriority w:val="99"/>
    <w:rsid w:val="00FF5197"/>
  </w:style>
  <w:style w:type="paragraph" w:styleId="PargrafodaLista">
    <w:name w:val="List Paragraph"/>
    <w:basedOn w:val="Normal"/>
    <w:uiPriority w:val="34"/>
    <w:qFormat/>
    <w:rsid w:val="00E82832"/>
    <w:pPr>
      <w:ind w:left="720"/>
      <w:contextualSpacing/>
    </w:pPr>
  </w:style>
  <w:style w:type="paragraph" w:styleId="Legenda">
    <w:name w:val="caption"/>
    <w:basedOn w:val="Normal"/>
    <w:next w:val="Normal"/>
    <w:uiPriority w:val="35"/>
    <w:unhideWhenUsed/>
    <w:qFormat/>
    <w:rsid w:val="00257630"/>
    <w:pPr>
      <w:spacing w:after="200" w:line="240" w:lineRule="auto"/>
    </w:pPr>
    <w:rPr>
      <w:i/>
      <w:iCs/>
      <w:color w:val="44546A" w:themeColor="text2"/>
      <w:sz w:val="18"/>
      <w:szCs w:val="18"/>
    </w:rPr>
  </w:style>
  <w:style w:type="character" w:customStyle="1" w:styleId="Ttulo2Char">
    <w:name w:val="Título 2 Char"/>
    <w:basedOn w:val="Fontepargpadro"/>
    <w:link w:val="Ttulo2"/>
    <w:uiPriority w:val="9"/>
    <w:rsid w:val="004A3418"/>
    <w:rPr>
      <w:rFonts w:asciiTheme="majorHAnsi" w:eastAsiaTheme="majorEastAsia" w:hAnsiTheme="majorHAnsi" w:cstheme="majorBidi"/>
      <w:color w:val="2E74B5" w:themeColor="accent1" w:themeShade="BF"/>
      <w:sz w:val="26"/>
      <w:szCs w:val="26"/>
    </w:rPr>
  </w:style>
  <w:style w:type="character" w:customStyle="1" w:styleId="Ttulo3Char">
    <w:name w:val="Título 3 Char"/>
    <w:basedOn w:val="Fontepargpadro"/>
    <w:link w:val="Ttulo3"/>
    <w:uiPriority w:val="9"/>
    <w:rsid w:val="00BB5EE3"/>
    <w:rPr>
      <w:rFonts w:eastAsiaTheme="majorEastAsia"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696351">
      <w:bodyDiv w:val="1"/>
      <w:marLeft w:val="0"/>
      <w:marRight w:val="0"/>
      <w:marTop w:val="0"/>
      <w:marBottom w:val="0"/>
      <w:divBdr>
        <w:top w:val="none" w:sz="0" w:space="0" w:color="auto"/>
        <w:left w:val="none" w:sz="0" w:space="0" w:color="auto"/>
        <w:bottom w:val="none" w:sz="0" w:space="0" w:color="auto"/>
        <w:right w:val="none" w:sz="0" w:space="0" w:color="auto"/>
      </w:divBdr>
    </w:div>
    <w:div w:id="1435857667">
      <w:bodyDiv w:val="1"/>
      <w:marLeft w:val="0"/>
      <w:marRight w:val="0"/>
      <w:marTop w:val="0"/>
      <w:marBottom w:val="0"/>
      <w:divBdr>
        <w:top w:val="none" w:sz="0" w:space="0" w:color="auto"/>
        <w:left w:val="none" w:sz="0" w:space="0" w:color="auto"/>
        <w:bottom w:val="none" w:sz="0" w:space="0" w:color="auto"/>
        <w:right w:val="none" w:sz="0" w:space="0" w:color="auto"/>
      </w:divBdr>
    </w:div>
    <w:div w:id="155150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60890-F8CD-4004-9F94-08A9B9875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1159</Words>
  <Characters>6264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Natan</dc:creator>
  <cp:keywords/>
  <dc:description/>
  <cp:lastModifiedBy>Natan Cruz</cp:lastModifiedBy>
  <cp:revision>3</cp:revision>
  <cp:lastPrinted>2022-09-13T16:31:00Z</cp:lastPrinted>
  <dcterms:created xsi:type="dcterms:W3CDTF">2024-09-03T14:10:00Z</dcterms:created>
  <dcterms:modified xsi:type="dcterms:W3CDTF">2024-09-03T14:12:00Z</dcterms:modified>
</cp:coreProperties>
</file>