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EC1" w:rsidRPr="0022701D" w:rsidRDefault="001B5EC1" w:rsidP="001B5EC1">
      <w:pPr>
        <w:pStyle w:val="textojustificado"/>
        <w:spacing w:before="120" w:beforeAutospacing="0" w:after="120" w:afterAutospacing="0"/>
        <w:ind w:right="120"/>
        <w:jc w:val="both"/>
        <w:rPr>
          <w:b/>
          <w:bCs/>
          <w:color w:val="000000"/>
        </w:rPr>
      </w:pPr>
      <w:r w:rsidRPr="0022701D">
        <w:rPr>
          <w:rStyle w:val="Forte"/>
          <w:color w:val="000000"/>
        </w:rPr>
        <w:t>EDITAL DE CHAMAMENTO PÚBLICO Nº 03/2024 – EDITAL AUDIOVISUAL AFRÂNIO</w:t>
      </w:r>
      <w:r w:rsidRPr="0022701D">
        <w:rPr>
          <w:rStyle w:val="Forte"/>
        </w:rPr>
        <w:t>/PE,</w:t>
      </w:r>
      <w:r w:rsidRPr="0022701D">
        <w:rPr>
          <w:rStyle w:val="Forte"/>
          <w:color w:val="000000"/>
        </w:rPr>
        <w:t xml:space="preserve"> PARA SELEÇÃO DE PROJETO PARA FIRMAR TERMO DE EXECUÇÃO CULTURAL COM RECURSOS REMANESCENTES DA LEI COMPLEMENTAR 195/2022 (LEI PAULO GUSTAVO) - AUDIOVISUAL</w:t>
      </w:r>
    </w:p>
    <w:p w:rsidR="001B5EC1" w:rsidRPr="0022701D" w:rsidRDefault="001B5EC1" w:rsidP="001B5EC1">
      <w:pPr>
        <w:pStyle w:val="textocentralizado"/>
        <w:spacing w:before="120" w:beforeAutospacing="0" w:after="120" w:afterAutospacing="0"/>
        <w:ind w:left="120" w:right="120"/>
        <w:jc w:val="center"/>
        <w:rPr>
          <w:color w:val="000000"/>
        </w:rPr>
      </w:pP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Este Edital é realizado com recursos do Governo Federal repassados por meio da Lei Complementar nº 195/2022 - Lei Paulo Gustavo.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 Lei Paulo Gustavo viabiliza o maior investimento direto no setor cultural da história do Brasil e simboliza o processo de resistência da classe artística durante a pandemia de Covid-19, que limitou severamente as atividades do setor cultural.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É, ainda, uma homenagem a Paulo Gustavo, artista símbolo da categoria, vitimado pela doença.</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As condições para a execução da Lei Paulo Gustavo foram criadas por meio do engajamento da sociedade e o presente </w:t>
      </w:r>
      <w:r w:rsidRPr="0022701D">
        <w:t>edital destina-se a apoiar projetos apresentados por agentes culturais que tenha a finalidade de serviços de produção de audiovisual.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Deste modo, </w:t>
      </w:r>
      <w:r w:rsidRPr="0022701D">
        <w:t>Prefeitura Municipal de Afrânio através da Secretaria de Educação – Divisão de Cultura do Município de Afrânio-PE, torna público o presente edital elaborado com base na Lei Complementar 195/2022, no</w:t>
      </w:r>
      <w:r w:rsidRPr="0022701D">
        <w:rPr>
          <w:color w:val="000000"/>
        </w:rPr>
        <w:t xml:space="preserve"> Decreto 11.525/2023 e no Decreto 11.453/2023.</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Na realização deste edital estão asseguradas medidas de democratização, desconcentração, descentralização e regionalização na execução do investimento cultural, com a implementação de ações afirmativas, fundamentado na previsão do Decreto nº 11.525, de 11 de maio de 2023 (Decreto de Regulamentação da Lei Paulo Gustavo), em seus artigos 14, 15 </w:t>
      </w:r>
      <w:r w:rsidRPr="0022701D">
        <w:t>e 16.</w:t>
      </w:r>
      <w:r w:rsidRPr="0022701D">
        <w:br/>
      </w: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 OBJETO </w:t>
      </w:r>
    </w:p>
    <w:p w:rsidR="001B5EC1" w:rsidRPr="0022701D" w:rsidRDefault="001B5EC1" w:rsidP="001B5EC1">
      <w:pPr>
        <w:pStyle w:val="textojustificado"/>
        <w:spacing w:before="120" w:beforeAutospacing="0" w:after="120" w:afterAutospacing="0"/>
        <w:ind w:left="120" w:right="120"/>
        <w:jc w:val="both"/>
        <w:rPr>
          <w:color w:val="FF0000"/>
        </w:rPr>
      </w:pPr>
      <w:r w:rsidRPr="0022701D">
        <w:rPr>
          <w:color w:val="000000"/>
        </w:rPr>
        <w:t>1.1 O objeto deste Edital é a seleção de projeto cultural de AUDIOVISUAL para receber apoio financeiro na categoria descrita no Anexo I, por meio da celebração de Termo de Execução Cultural, com o objetivo</w:t>
      </w:r>
      <w:r>
        <w:rPr>
          <w:color w:val="000000"/>
        </w:rPr>
        <w:t xml:space="preserve"> de produzir um F</w:t>
      </w:r>
      <w:r w:rsidRPr="0022701D">
        <w:rPr>
          <w:color w:val="000000"/>
        </w:rPr>
        <w:t xml:space="preserve">ilme de </w:t>
      </w:r>
      <w:r>
        <w:rPr>
          <w:color w:val="000000"/>
        </w:rPr>
        <w:t>Média M</w:t>
      </w:r>
      <w:r w:rsidRPr="0022701D">
        <w:rPr>
          <w:color w:val="000000"/>
        </w:rPr>
        <w:t>etra</w:t>
      </w:r>
      <w:r>
        <w:rPr>
          <w:color w:val="000000"/>
        </w:rPr>
        <w:t>gem sobre a cidade de Afrânio a Expoleite e suas M</w:t>
      </w:r>
      <w:r w:rsidRPr="0022701D">
        <w:rPr>
          <w:color w:val="000000"/>
        </w:rPr>
        <w:t>anifestações Culturais.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2. VALORES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2.1 O valor total disponibilizado para este edital é de </w:t>
      </w:r>
      <w:r w:rsidRPr="0022701D">
        <w:rPr>
          <w:b/>
          <w:color w:val="000000" w:themeColor="text1"/>
        </w:rPr>
        <w:t xml:space="preserve">R$ </w:t>
      </w:r>
      <w:r>
        <w:rPr>
          <w:b/>
          <w:color w:val="000000" w:themeColor="text1"/>
        </w:rPr>
        <w:t>75</w:t>
      </w:r>
      <w:r w:rsidRPr="0022701D">
        <w:rPr>
          <w:b/>
          <w:color w:val="000000" w:themeColor="text1"/>
        </w:rPr>
        <w:t>.</w:t>
      </w:r>
      <w:r>
        <w:rPr>
          <w:b/>
          <w:color w:val="000000" w:themeColor="text1"/>
        </w:rPr>
        <w:t>350,00</w:t>
      </w:r>
      <w:r w:rsidRPr="0022701D">
        <w:rPr>
          <w:b/>
          <w:color w:val="000000" w:themeColor="text1"/>
        </w:rPr>
        <w:t xml:space="preserve">  (</w:t>
      </w:r>
      <w:r>
        <w:rPr>
          <w:b/>
          <w:color w:val="000000" w:themeColor="text1"/>
        </w:rPr>
        <w:t xml:space="preserve">Setenta e cinco mil trezentos e </w:t>
      </w:r>
      <w:r w:rsidRPr="0022701D">
        <w:rPr>
          <w:b/>
          <w:color w:val="000000" w:themeColor="text1"/>
        </w:rPr>
        <w:t xml:space="preserve">cinquenta </w:t>
      </w:r>
      <w:r>
        <w:rPr>
          <w:b/>
          <w:color w:val="000000" w:themeColor="text1"/>
        </w:rPr>
        <w:t>reais</w:t>
      </w:r>
      <w:r w:rsidRPr="0022701D">
        <w:rPr>
          <w:b/>
          <w:color w:val="000000" w:themeColor="text1"/>
        </w:rPr>
        <w:t>)</w:t>
      </w:r>
      <w:r w:rsidRPr="0022701D">
        <w:rPr>
          <w:color w:val="000000" w:themeColor="text1"/>
        </w:rPr>
        <w:t xml:space="preserve">, </w:t>
      </w:r>
      <w:r w:rsidRPr="0022701D">
        <w:rPr>
          <w:color w:val="000000"/>
        </w:rPr>
        <w:t>descrito no Anexo I deste edital.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3. QUEM PODE SE INSCREVER</w:t>
      </w:r>
    </w:p>
    <w:p w:rsidR="001B5EC1" w:rsidRPr="0022701D" w:rsidRDefault="001B5EC1" w:rsidP="001B5EC1">
      <w:pPr>
        <w:pStyle w:val="textojustificado"/>
        <w:spacing w:before="120" w:after="120"/>
        <w:ind w:left="120" w:right="120"/>
        <w:jc w:val="both"/>
        <w:rPr>
          <w:color w:val="000000"/>
        </w:rPr>
      </w:pPr>
      <w:r w:rsidRPr="0022701D">
        <w:rPr>
          <w:color w:val="000000"/>
        </w:rPr>
        <w:t>I - Pessoa jurídica com fins lucrativos com CNAE que se enquadra no audiovisual (Ex.: empresa de pequeno porte, empresa de grande porte, etc);</w:t>
      </w:r>
    </w:p>
    <w:p w:rsidR="001B5EC1" w:rsidRPr="0022701D" w:rsidRDefault="001B5EC1" w:rsidP="001B5EC1">
      <w:pPr>
        <w:pStyle w:val="textojustificado"/>
        <w:spacing w:before="120" w:after="120"/>
        <w:ind w:left="120" w:right="120"/>
        <w:jc w:val="both"/>
        <w:rPr>
          <w:color w:val="000000"/>
        </w:rPr>
      </w:pPr>
      <w:r w:rsidRPr="0022701D">
        <w:rPr>
          <w:color w:val="000000"/>
        </w:rPr>
        <w:lastRenderedPageBreak/>
        <w:t>II - Pessoa jurídica sem fins lucrativos com CNAE que se enquadra no audiovisual (Ex.: Associação, Fundação, Cooperativa, etc);</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3.1 O Anexo I deve ser consultado para fins de verificação das condições de participação de todos os proponentes.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4. QUEM NÃO PODE SE INSCREVER</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4.1 Não pode se inscrever neste Edital, proponentes que: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 – tenham se envolvido diretamente na etapa de elaboração do edital, na etapa de análise de propostas ou na etapa de julgamento de recursos;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 - sejam servidor público do órgão responsável pelo edital, nos casos em que o referido servidor tiver atuado na etapa de elaboração do edital, na etapa de análise de propostas ou na etapa de julgamento de recursos; 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III - sejam membros do Poder Legislativo (Deputados, Senadores, Vereadores), do Poder Judiciário (Juízes, Desembargadores, Ministros), do Ministério Público (Promotor, Procurador); do Tribunal de Contas (Auditores e Conselheiros).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4.2 O agente cultural que integrar Conselho de Cultura poderá concorrer neste Edital para receber recursos do fomento cultural, exceto quando se enquadrar nas vedações previstas no item 4.1.</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5. COTAS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5.1 Ficam garantidas cotas étnicas-raciais em todas as categorias do edital, nas seguintes proporções: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 no mínimo 20% das vagas para pessoas negras (pretas e pardas); 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b) no mínimo 10% das vagas para pessoas indígenas.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5.2 Os agentes culturais que optarem por concorrer às cotas para pessoas negras (pretas e pardas) e indígenas concorrerão concomitantemente às vagas destinadas à ampla concorrência, ou seja concorrerão ao mesmo tempo nas vagas da ampla concorrência e nas vagas reservadas às cotas, podendo ser selecionado de acordo com a sua nota ou classificação no processo de seleção.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5.3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5.4 Em caso de desistência de optantes aprovados nas cotas, a vaga não preenchida deverá ser ocupada por pessoa que concorreu às cotas de acordo com a ordem de classificação.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5.5 No caso de não existirem propostas aptas em número suficiente para o cumprimento de uma das categorias de cotas previstas na seleção, o número de vagas restantes deverá ser destinado inicialmente para a outra categoria de cotas.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lastRenderedPageBreak/>
        <w:t>5.6 Caso não haja outra categoria de cotas de que trata o item 5.5, as vagas não preenchidas deverão ser direcionadas para a ampla concorrência, sendo direcionadas para os demais candidatos aprovados, de acordo com a ordem de classificação.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5.7 Para concorrer às cotas, os agentes culturais deverão autodeclarar-se no ato da inscrição usando a autodeclaração étnico-racial de que trata o Anexo VI.</w:t>
      </w:r>
    </w:p>
    <w:p w:rsidR="001B5EC1" w:rsidRPr="0022701D" w:rsidRDefault="001B5EC1" w:rsidP="001B5EC1">
      <w:pPr>
        <w:pStyle w:val="textojustificado"/>
        <w:spacing w:before="120" w:beforeAutospacing="0" w:after="120" w:afterAutospacing="0"/>
        <w:ind w:left="120" w:right="120"/>
        <w:jc w:val="both"/>
        <w:rPr>
          <w:color w:val="000000" w:themeColor="text1"/>
        </w:rPr>
      </w:pPr>
      <w:r w:rsidRPr="0022701D">
        <w:rPr>
          <w:color w:val="000000"/>
        </w:rPr>
        <w:t>5.8 As pessoas jurídicas podem concorrer às cotas, desde que</w:t>
      </w:r>
      <w:r w:rsidRPr="0022701D">
        <w:rPr>
          <w:color w:val="000000" w:themeColor="text1"/>
        </w:rPr>
        <w:t xml:space="preserve"> possuam quadro societário majoritariamente composto por pessoas negras (pretas e pardas) ou indígenas;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6. PRAZO PARA SE INSCREVER</w:t>
      </w:r>
    </w:p>
    <w:p w:rsidR="001B5EC1" w:rsidRPr="0022701D" w:rsidRDefault="001B5EC1" w:rsidP="001B5EC1">
      <w:pPr>
        <w:pStyle w:val="textojustificado"/>
        <w:spacing w:before="120" w:beforeAutospacing="0" w:after="120" w:afterAutospacing="0"/>
        <w:ind w:left="120" w:right="120"/>
        <w:jc w:val="both"/>
      </w:pPr>
      <w:r w:rsidRPr="0022701D">
        <w:rPr>
          <w:color w:val="000000"/>
        </w:rPr>
        <w:t>6.1 Para se inscrever no Edital, o proponente deve encaminhar toda documentação obrigatória relatada no item 7, entre os dias </w:t>
      </w:r>
      <w:r w:rsidR="00927295">
        <w:rPr>
          <w:color w:val="000000"/>
        </w:rPr>
        <w:t>04  e  11</w:t>
      </w:r>
      <w:r w:rsidRPr="0022701D">
        <w:rPr>
          <w:color w:val="000000"/>
        </w:rPr>
        <w:t xml:space="preserve"> </w:t>
      </w:r>
      <w:r w:rsidRPr="0022701D">
        <w:t xml:space="preserve">de </w:t>
      </w:r>
      <w:r>
        <w:t>julho</w:t>
      </w:r>
      <w:r w:rsidRPr="0022701D">
        <w:t xml:space="preserve"> de 2024.</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7. COMO SE INSCREVER</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7.1 O proponente deve encaminhar a documentação obrigatória de que trata o item 7.</w:t>
      </w:r>
      <w:r w:rsidRPr="0022701D">
        <w:t>2 por meio</w:t>
      </w:r>
      <w:r w:rsidR="00B32F6E">
        <w:t xml:space="preserve"> de envio para o e-mail </w:t>
      </w:r>
      <w:hyperlink r:id="rId8" w:history="1">
        <w:r w:rsidR="00B32F6E" w:rsidRPr="001538CE">
          <w:rPr>
            <w:rStyle w:val="Hyperlink"/>
          </w:rPr>
          <w:t>cultura_afranio@outlook.com</w:t>
        </w:r>
      </w:hyperlink>
      <w:r w:rsidR="00B32F6E">
        <w:t xml:space="preserve">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7.2 O proponente deve enviar a seguinte documentação para formalizar sua inscrição: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 Formulário de inscrição (Anexo II) que constitui o Plano de Trabalho (projeto);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b) Currículo do proponente;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c) Documentos específicos relacionados na categoria de apoio em que o projeto será inscrito conforme Anexo I; </w:t>
      </w:r>
    </w:p>
    <w:p w:rsidR="001B5EC1" w:rsidRPr="0022701D" w:rsidRDefault="001B5EC1" w:rsidP="001B5EC1">
      <w:pPr>
        <w:pStyle w:val="textojustificado"/>
        <w:spacing w:before="120" w:beforeAutospacing="0" w:after="120" w:afterAutospacing="0"/>
        <w:ind w:left="120" w:right="120"/>
        <w:jc w:val="both"/>
      </w:pPr>
      <w:r w:rsidRPr="0022701D">
        <w:rPr>
          <w:color w:val="000000"/>
        </w:rPr>
        <w:t xml:space="preserve">7.3 O proponente é responsável pelo envio dos documentos e pela qualidade visual, conteúdo dos arquivos e informações </w:t>
      </w:r>
      <w:r w:rsidRPr="0022701D">
        <w:t>de seu projeto. </w:t>
      </w:r>
    </w:p>
    <w:p w:rsidR="001B5EC1" w:rsidRPr="0022701D" w:rsidRDefault="001B5EC1" w:rsidP="001B5EC1">
      <w:pPr>
        <w:pStyle w:val="textojustificado"/>
        <w:spacing w:before="120" w:beforeAutospacing="0" w:after="120" w:afterAutospacing="0"/>
        <w:ind w:left="120" w:right="120"/>
        <w:jc w:val="both"/>
        <w:rPr>
          <w:color w:val="000000"/>
        </w:rPr>
      </w:pPr>
      <w:r w:rsidRPr="0022701D">
        <w:t xml:space="preserve">7.4 Cada Proponente poderá concorrer neste edital com, 01 (um) Projeto e poderá ser contemplado com apenas 01 (um) projeto.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7.5 Os projetos apresentados deverão conter previsão de execução não </w:t>
      </w:r>
      <w:r w:rsidRPr="0022701D">
        <w:t xml:space="preserve">superior </w:t>
      </w:r>
      <w:r>
        <w:t>a 9</w:t>
      </w:r>
      <w:r w:rsidRPr="0022701D">
        <w:t>0 dias do</w:t>
      </w:r>
      <w:r w:rsidRPr="0022701D">
        <w:rPr>
          <w:color w:val="000000"/>
        </w:rPr>
        <w:t xml:space="preserve"> resultado final do edital.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7.6 O proponente deve se responsabilizar pelo acompanhamento das atualizações/publicações pertinentes ao edital e seus prazos nos canais formais de comunicação.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7.7 As inscrições deste edital são gratuitas.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7.8 As propostas que apresentem quaisquer formas de preconceito de origem, raça, etnia, gênero, cor, idade ou outras formas de discriminação serão desclassificadas, com fundamento no disposto no </w:t>
      </w:r>
      <w:hyperlink r:id="rId9" w:anchor="art3iv" w:history="1">
        <w:r w:rsidRPr="0022701D">
          <w:rPr>
            <w:color w:val="000000"/>
          </w:rPr>
          <w:t>inciso IV do caput do art. 3º da Constituição,</w:t>
        </w:r>
      </w:hyperlink>
      <w:r w:rsidRPr="0022701D">
        <w:rPr>
          <w:color w:val="000000"/>
        </w:rPr>
        <w:t> garantidos o contraditório e a ampla defesa.</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8. PLANILHA ORÇAMENTÁRIA DOS PROJETOS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8.1 O proponente deve preencher a planilha orçamentária presente no Formulário de Inscrição, informando como será utilizado o recurso financeiro recebido.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lastRenderedPageBreak/>
        <w:t>8.2 A estimativa de custos do projeto será prevista por categorias, sem a necessidade de detalhamento por item de despesa, conforme § 1º do art. 24 do Decreto 11.453/2023.</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8.3 A compatibilidade entre a estimativa de custos do projeto e os preços praticados no mercado será avaliada pelos membros da comissão de seleção, de acordo com tabelas referenciais de valores, ou com outros métodos de verificação de valores praticados no mercado.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8.4 A estimativa de custos do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e comunidades quilombolas e tradicionais.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8.5 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8.6 Caso o proponente discorde dos valores glosados (vetados) poderá apresentar recurso na fase de mérito cultural, conforme dispõe o item 12.5.</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8.7 O valor solicitado não poderá ser superior ao valor máximo destinado a cada projeto, conforme Anexo I do presente edital.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9. ACESSIBILIDADE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9.1 Os projetos devem contar com medidas de acessibilidade física, atitudinal e comunicacional compatíveis com as características dos produtos resultantes do objeto, nos termos do disposto na </w:t>
      </w:r>
      <w:hyperlink r:id="rId10" w:tgtFrame="_blank" w:history="1">
        <w:r w:rsidRPr="0022701D">
          <w:rPr>
            <w:rStyle w:val="Hyperlink"/>
          </w:rPr>
          <w:t>Lei nº 13.146, de 6 de julho de 2015</w:t>
        </w:r>
      </w:hyperlink>
      <w:r w:rsidRPr="0022701D">
        <w:rPr>
          <w:color w:val="000000"/>
        </w:rPr>
        <w:t> (Lei Brasileira de Inclusão da Pessoa com Deficiência), de modo a contemplar:</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 - no aspecto arquitetônico, recursos de acessibilidade para permitir o acesso de pessoas com mobilidade reduzida ou idosas aos locais onde se realizam as atividades culturais e a espaços acessórios, como banheiros, áreas de alimentação e circulação;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 - no aspecto comunicacional, recursos de acessibilidade para permitir o acesso de pessoas com deficiência intelectual, auditiva ou visual ao conteúdo dos produtos culturais gerados pelo projeto, pela iniciativa ou pelo espaço; 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9.2 Especificamente para pessoas com deficiência, mecanismos de protagonismo e participação poderão ser concretizados também por meio das seguintes iniciativas, entre outras: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 - adaptação de espaços culturais com residências inclusivas;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lastRenderedPageBreak/>
        <w:t>II - utilização de tecnologias assistivas, ajudas técnicas e produtos com desenho universal;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III - medidas de prevenção e erradicação de barreiras atitudinais;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IV - contratação de serviços de assistência por acompanhante; ou</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V - oferta de ações de formação e capacitação acessíveis a pessoas com deficiência.</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9.3 Os projetos devem prever obrigatoriamente medidas de acessibilidade, sendo assegurado para essa finalidade no mínimo 10% do valor total do projeto.</w:t>
      </w:r>
    </w:p>
    <w:p w:rsidR="001B5EC1" w:rsidRPr="0022701D" w:rsidRDefault="001B5EC1" w:rsidP="001B5EC1">
      <w:pPr>
        <w:pStyle w:val="textojustificado"/>
        <w:spacing w:before="120" w:beforeAutospacing="0" w:after="120" w:afterAutospacing="0"/>
        <w:ind w:left="120" w:right="120"/>
        <w:jc w:val="both"/>
        <w:rPr>
          <w:color w:val="000000"/>
        </w:rPr>
      </w:pPr>
      <w:bookmarkStart w:id="0" w:name="_Hlk139038793"/>
      <w:r w:rsidRPr="0022701D">
        <w:rPr>
          <w:color w:val="000000"/>
        </w:rPr>
        <w:t>9.4 A utilização do percentual mínimo de 10% de que trata o item 9.3 pode ser excepcionalmente dispensada quando: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 - for inaplicável em razão das características do objeto cultural, a exemplo de projetos cujo objeto seja o desenvolvimento de roteiro e licenciamento de obra audiovisual; ou</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 - quando o projeto já contemplar integralmente as medidas de acessibilidade compatíveis com as características do objeto cultural.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9.5 Para projetos cujo objeto seja a produção audiovisual, consideram-se integralmente cumpridas as medidas de acessibilidade de que trata o subitem II do item 9.4 quando a produção  contemplar legendagem, legendagem descritiva, audiodescrição e LIBRAS - Língua Brasileira de Sinais. </w:t>
      </w:r>
    </w:p>
    <w:bookmarkEnd w:id="0"/>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9.6 O proponente deve apresentar justificativa para os casos em que o percentual mínimo de 10% é inaplicável.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r w:rsidRPr="0022701D">
        <w:rPr>
          <w:rStyle w:val="Forte"/>
          <w:color w:val="000000"/>
        </w:rPr>
        <w:t>10. CONTRAPARTIDA</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10.1 O agente cultural contemplado deverá exibir de forma gratuita</w:t>
      </w:r>
      <w:r>
        <w:rPr>
          <w:color w:val="000000"/>
        </w:rPr>
        <w:t xml:space="preserve"> o Filme de Média M</w:t>
      </w:r>
      <w:r w:rsidRPr="0022701D">
        <w:rPr>
          <w:color w:val="000000"/>
        </w:rPr>
        <w:t>etragem produzido em plataformas de streaming e de forma presencial em espaço público, proposto em parceria com a administração publica municipal.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11. ETAPAS DO EDITAL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11.1 A seleção dos projetos submetidos a este Edital será composta das seguintes etapas: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 - Análise de mérito cultural dos projetos: fase de análise do projeto realizada por comissão de seleção; 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 - Habilitação: fase de análise dos documentos de habilitação do proponente, descritos no tópico 13.</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12. ANÁLISE DE MÉRITO CULTURAL DOS PROJETOS </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12.1 Entende-se por “Análise de mérito cultural" a identificação, tanto individual quanto sobre seu contexto social, de aspectos relevantes dos projetos culturais, concorrentes em uma mesma categoria de apoio, realizada por meio da atribuição fundamentada de notas aos critérios descritos neste edital.</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12.2 Por análise comparativa compreende-se a análise não apenas dos itens individuais de cada projeto, mas de suas propostas, impactos e relevância em relação aos outros projetos inscritos na mesma categoria. A pontuação de cada projeto é atribuída em função desta comparação.</w:t>
      </w:r>
    </w:p>
    <w:p w:rsidR="001B5EC1" w:rsidRPr="0022701D" w:rsidRDefault="001B5EC1" w:rsidP="001B5EC1">
      <w:pPr>
        <w:pStyle w:val="textojustificado"/>
        <w:spacing w:before="120" w:beforeAutospacing="0" w:after="120" w:afterAutospacing="0"/>
        <w:ind w:right="120"/>
        <w:jc w:val="both"/>
        <w:rPr>
          <w:color w:val="FF0000"/>
        </w:rPr>
      </w:pPr>
      <w:r w:rsidRPr="0022701D">
        <w:rPr>
          <w:color w:val="000000"/>
        </w:rPr>
        <w:lastRenderedPageBreak/>
        <w:t>12.3 A análise dos projetos culturais será realizada por comissão de seleção formada por</w:t>
      </w:r>
      <w:r w:rsidRPr="0022701D">
        <w:rPr>
          <w:color w:val="FF0000"/>
        </w:rPr>
        <w:t> </w:t>
      </w:r>
      <w:r w:rsidRPr="0022701D">
        <w:rPr>
          <w:color w:val="000000" w:themeColor="text1"/>
        </w:rPr>
        <w:t>Pareceristas externos.</w:t>
      </w:r>
      <w:r w:rsidRPr="0022701D">
        <w:rPr>
          <w:color w:val="FF0000"/>
        </w:rPr>
        <w:t xml:space="preserve"> </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12.4 Para esta seleção serão considerados os critérios de pontuação estabelecidos no Anexo III.</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12.5 Contra a decisão da fase de mérito cultural, caberá recurso destinado ao</w:t>
      </w:r>
      <w:r w:rsidRPr="0022701D">
        <w:rPr>
          <w:color w:val="FF0000"/>
        </w:rPr>
        <w:t> </w:t>
      </w:r>
      <w:r w:rsidRPr="0022701D">
        <w:rPr>
          <w:color w:val="000000" w:themeColor="text1"/>
        </w:rPr>
        <w:t>coordenador da comissão julgadora de pareceristas.</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12.6 Os recursos de que tratam o item 12.5 deverão ser apresentados no     prazo de 02 dias corridos, a contar da publicação do resultado preliminar.</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12.7 Os recursos apresentados após o prazo não serão avaliados. </w:t>
      </w:r>
    </w:p>
    <w:p w:rsidR="001B5EC1" w:rsidRPr="0022701D" w:rsidRDefault="001B5EC1" w:rsidP="001B5EC1">
      <w:pPr>
        <w:pStyle w:val="textojustificado"/>
        <w:spacing w:before="120" w:beforeAutospacing="0" w:after="120" w:afterAutospacing="0"/>
        <w:ind w:right="120"/>
        <w:jc w:val="both"/>
        <w:rPr>
          <w:color w:val="000000"/>
        </w:rPr>
      </w:pPr>
      <w:r w:rsidRPr="0022701D">
        <w:rPr>
          <w:color w:val="000000"/>
        </w:rPr>
        <w:t xml:space="preserve">12.8 Após o julgamento dos recursos, o resultado final da análise de mérito cultural será divulgado no site oficial do </w:t>
      </w:r>
      <w:r w:rsidRPr="0022701D">
        <w:t xml:space="preserve">Município de </w:t>
      </w:r>
      <w:r>
        <w:t>Afrãnio</w:t>
      </w:r>
      <w:r w:rsidRPr="0022701D">
        <w:t>-PE.</w:t>
      </w:r>
    </w:p>
    <w:p w:rsidR="001B5EC1" w:rsidRDefault="001B5EC1" w:rsidP="001B5EC1">
      <w:pPr>
        <w:pStyle w:val="textojustificado"/>
        <w:spacing w:before="120" w:beforeAutospacing="0" w:after="120" w:afterAutospacing="0"/>
        <w:ind w:left="120" w:right="120"/>
        <w:jc w:val="both"/>
        <w:rPr>
          <w:color w:val="000000"/>
        </w:rPr>
      </w:pP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​​13. ETAPA DE HABILITAÇÃO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13.1 Finalizada a etapa de análise de mérito cultural, o proponente do projeto contemplado deverá, no prazo de</w:t>
      </w:r>
      <w:r w:rsidRPr="0022701D">
        <w:rPr>
          <w:color w:val="FF0000"/>
        </w:rPr>
        <w:t> </w:t>
      </w:r>
      <w:r>
        <w:rPr>
          <w:color w:val="000000" w:themeColor="text1"/>
        </w:rPr>
        <w:t>03</w:t>
      </w:r>
      <w:r w:rsidRPr="0022701D">
        <w:rPr>
          <w:color w:val="000000" w:themeColor="text1"/>
        </w:rPr>
        <w:t xml:space="preserve"> dias corridos</w:t>
      </w:r>
      <w:r w:rsidRPr="0022701D">
        <w:rPr>
          <w:color w:val="000000"/>
        </w:rPr>
        <w:t>, para apresentar os seguintes documentos: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 - inscrição no cadastro nacional de pessoa jurídica - CNPJ, emitida no site da Secretaria da Receita Federal do Brasil;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 – atos constitutivos, qual seja o contrato social, nos casos de pessoas jurídicas com fins lucrativos, ou estatuto, nos casos de organizações da sociedade civil;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III - certidão negativa de falência e recuperação judicial, expedida pelo Tribunal de Justiça estadual, nos casos de pessoas jurídicas com fins lucrativos;</w:t>
      </w:r>
    </w:p>
    <w:p w:rsidR="001B5EC1" w:rsidRPr="0022701D" w:rsidRDefault="001B5EC1" w:rsidP="001B5EC1">
      <w:pPr>
        <w:pStyle w:val="textojustificado"/>
        <w:spacing w:before="120" w:beforeAutospacing="0" w:after="120" w:afterAutospacing="0"/>
        <w:ind w:left="120" w:right="120"/>
        <w:rPr>
          <w:color w:val="000000"/>
        </w:rPr>
      </w:pPr>
      <w:r w:rsidRPr="0022701D">
        <w:rPr>
          <w:color w:val="000000"/>
        </w:rPr>
        <w:t>IV - certidão negativa de débitos relativos a Créditos Tributários Federais e à Dívida Ativa da União;</w:t>
      </w:r>
      <w:r w:rsidRPr="0022701D">
        <w:rPr>
          <w:color w:val="000000"/>
        </w:rPr>
        <w:br/>
        <w:t xml:space="preserve">V - certidões negativas de débitos estaduais e municipais;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VI - certificado de regularidade do Fundo de Garantia do Tempo de Serviço - CRF/FGTS;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VII - certidão negativa de débitos trabalhistas - CNDT, emitida no site do Tribunal Superior do Trabalho;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13.2 As certidões positivas com efeito de negativas servirão como certidões negativas, desde que não haja referência expressa de impossibilidade de celebrar instrumentos jurídicos com a administração pública.</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13.3 Contra a decisão da fase de habilitação, caberá recurso fundamentado e específico destinado ao coordenador da comissão de pareceristas.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13.4  Os recursos de trata o item 13.3 deverão ser apresentados no prazo de 2 (dois) dias corridos a contar da publicação do resultado, considerando-se para início da contagem o primeiro dia útil posterior à publicação, não cabendo recurso administrativo da decisão após esta fase.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13.5 Os recursos apresentados após o prazo não serão avaliados.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lastRenderedPageBreak/>
        <w:t>13.6 Caso o proponente esteja em débito com o ente público responsável pela seleção e com a União não será possível o recebimento dos recursos de que trata este Edital.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14. ASSINATURA DO TERMO DE EXECUÇÃO CULTURAL E RECEBIMENTO DOS RECURSOS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14.1 Finalizada a fase de habilitação, o agente cultural contemplado será convocado a assinar o Termo de Execução Cultural, conforme Anexo IV deste Edital, com assinatura digital pelo </w:t>
      </w:r>
      <w:hyperlink r:id="rId11" w:history="1">
        <w:r w:rsidRPr="0022701D">
          <w:rPr>
            <w:rStyle w:val="Hyperlink"/>
          </w:rPr>
          <w:t>https://www.gov.br/pt-br</w:t>
        </w:r>
      </w:hyperlink>
      <w:r w:rsidRPr="0022701D">
        <w:rPr>
          <w:color w:val="000000"/>
        </w:rPr>
        <w:t xml:space="preserve"> e encaminhar através do e-mail </w:t>
      </w:r>
      <w:hyperlink r:id="rId12" w:history="1">
        <w:r w:rsidRPr="00881F15">
          <w:rPr>
            <w:rStyle w:val="Hyperlink"/>
          </w:rPr>
          <w:t>afraniolpg@gmail.com</w:t>
        </w:r>
      </w:hyperlink>
      <w:r w:rsidRPr="0022701D">
        <w:rPr>
          <w:color w:val="000000"/>
        </w:rPr>
        <w:t xml:space="preserve">.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14.2 O Termo de Execução Cultural corresponde ao documento a ser assinado pelo agente cultural selecionado neste Edital e pelo </w:t>
      </w:r>
      <w:r w:rsidRPr="0022701D">
        <w:t xml:space="preserve">Secretário de </w:t>
      </w:r>
      <w:r>
        <w:t>Educação</w:t>
      </w:r>
      <w:r w:rsidRPr="0022701D">
        <w:t xml:space="preserve"> do Município de </w:t>
      </w:r>
      <w:r>
        <w:t>Afrânio</w:t>
      </w:r>
      <w:r w:rsidRPr="0022701D">
        <w:t>-PE,</w:t>
      </w:r>
      <w:r w:rsidRPr="0022701D">
        <w:rPr>
          <w:color w:val="000000"/>
        </w:rPr>
        <w:t xml:space="preserve"> contendo as obrigações dos assinantes do Termo.</w:t>
      </w:r>
    </w:p>
    <w:p w:rsidR="001B5EC1" w:rsidRPr="0022701D" w:rsidRDefault="001B5EC1" w:rsidP="001B5EC1">
      <w:pPr>
        <w:pStyle w:val="textojustificado"/>
        <w:spacing w:before="120" w:beforeAutospacing="0" w:after="120" w:afterAutospacing="0"/>
        <w:ind w:left="120" w:right="120"/>
        <w:jc w:val="both"/>
        <w:rPr>
          <w:color w:val="FF0000"/>
        </w:rPr>
      </w:pPr>
      <w:r w:rsidRPr="0022701D">
        <w:rPr>
          <w:color w:val="000000"/>
        </w:rPr>
        <w:t>14.3 Após a assinatura do Termo de Execução Cultural, o agente cultural receberá os recursos em conta bancária indicada pelo agente cultural para o recebimento dos recursos deste Edital, em desembolso único</w:t>
      </w:r>
      <w:r>
        <w:rPr>
          <w:color w:val="000000"/>
        </w:rPr>
        <w:t>.</w:t>
      </w:r>
    </w:p>
    <w:p w:rsidR="001B5EC1" w:rsidRPr="0022701D" w:rsidRDefault="001B5EC1" w:rsidP="001B5EC1">
      <w:pPr>
        <w:pStyle w:val="textojustificado"/>
        <w:spacing w:before="120" w:beforeAutospacing="0" w:after="120" w:afterAutospacing="0"/>
        <w:ind w:left="120" w:right="120"/>
        <w:jc w:val="both"/>
      </w:pPr>
      <w:r w:rsidRPr="0022701D">
        <w:rPr>
          <w:color w:val="000000"/>
        </w:rPr>
        <w:t>14.4 A assinatura do Termo de Execução Cultural e o recebimento do apoio estão condicionados à existência de disponibilidade orçamentária e financeira, caracterizando a seleção como expectativa de direito do proponente</w:t>
      </w:r>
      <w:r w:rsidRPr="0022701D">
        <w:t xml:space="preserve">. </w:t>
      </w:r>
    </w:p>
    <w:p w:rsidR="001B5EC1" w:rsidRPr="0022701D" w:rsidRDefault="001B5EC1" w:rsidP="001B5EC1">
      <w:pPr>
        <w:pStyle w:val="textojustificado"/>
        <w:spacing w:before="120" w:beforeAutospacing="0" w:after="120" w:afterAutospacing="0"/>
        <w:ind w:left="120" w:right="120"/>
        <w:jc w:val="both"/>
        <w:rPr>
          <w:color w:val="000000" w:themeColor="text1"/>
        </w:rPr>
      </w:pPr>
      <w:bookmarkStart w:id="1" w:name="_Hlk139038851"/>
      <w:r w:rsidRPr="0022701D">
        <w:rPr>
          <w:color w:val="000000" w:themeColor="text1"/>
        </w:rPr>
        <w:t>14.5 O agente cultural deve assinar o Termo de Execução Cultural até 0</w:t>
      </w:r>
      <w:r>
        <w:rPr>
          <w:color w:val="000000" w:themeColor="text1"/>
        </w:rPr>
        <w:t>3</w:t>
      </w:r>
      <w:r w:rsidRPr="0022701D">
        <w:rPr>
          <w:color w:val="000000" w:themeColor="text1"/>
        </w:rPr>
        <w:t xml:space="preserve"> dias corridos após a homologação do resultado final, sob pena de perda do apoio financeiro e convocação do suplente para assumir sua vaga.</w:t>
      </w:r>
    </w:p>
    <w:bookmarkEnd w:id="1"/>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15. DIVULGAÇÃO DOS PROJETOS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15.1 Os produtos artístico-culturais e as peças de divulgação dos projetos exibirão as marcas do Governo federal, de acordo com as orientações técnicas do manual de aplicação de marcas divulgado pelo Ministério da Cultura e a marca da Prefeitura </w:t>
      </w:r>
      <w:r>
        <w:t>Municipal de Afrânio</w:t>
      </w:r>
      <w:r w:rsidRPr="0022701D">
        <w:t>-PE.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16. MONITORAMENTO E AVALIAÇÃO DE RESULTADOS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16.1 Os procedimentos de monitoramento e avaliação dos projetos culturais contemplados, assim como prestação de informação à administração pública, observarão o Decreto 11.453/2023 (Decreto de Fomento), que dispõe sobre os mecanismos de fomento do sistema de financiamento à cultura, observadas às exigências legais de simplificação e de foco no cumprimento do objeto.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16.2 O agente cultural deve prestar contas por meio da apresentação do Relatório Final de Execução do Objeto, conforme documento constante no Anexo V. O Relatório Final de Execução do Objeto deve ser apresentado </w:t>
      </w:r>
      <w:r w:rsidRPr="0022701D">
        <w:t>até </w:t>
      </w:r>
      <w:r>
        <w:t>9</w:t>
      </w:r>
      <w:r w:rsidRPr="0022701D">
        <w:t>0 dias a</w:t>
      </w:r>
      <w:r w:rsidRPr="0022701D">
        <w:rPr>
          <w:color w:val="000000"/>
        </w:rPr>
        <w:t xml:space="preserve"> contar do fim da vigência do Termo de Execução Cultural.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rStyle w:val="Forte"/>
          <w:color w:val="000000"/>
        </w:rPr>
        <w:t>17. DISPOSIÇÕES FINAIS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lastRenderedPageBreak/>
        <w:t xml:space="preserve">17.1 O acompanhamento de todas as etapas deste Edital e a observância quanto aos prazos serão de inteira responsabilidade dos proponentes. Para tanto, deverão ficar atentos às publicações no site oficial da Prefeitura Municipal </w:t>
      </w:r>
      <w:r w:rsidRPr="0022701D">
        <w:t xml:space="preserve">de </w:t>
      </w:r>
      <w:r>
        <w:t>Afrânio</w:t>
      </w:r>
      <w:r w:rsidRPr="0022701D">
        <w:t> e</w:t>
      </w:r>
      <w:r w:rsidRPr="0022701D">
        <w:rPr>
          <w:color w:val="000000"/>
        </w:rPr>
        <w:t xml:space="preserve"> nas mídias sociais oficiais.</w:t>
      </w:r>
    </w:p>
    <w:p w:rsidR="001B5EC1" w:rsidRPr="0022701D" w:rsidRDefault="001B5EC1" w:rsidP="001B5EC1">
      <w:pPr>
        <w:pStyle w:val="textojustificado"/>
        <w:spacing w:before="120" w:beforeAutospacing="0" w:after="120" w:afterAutospacing="0"/>
        <w:ind w:left="120" w:right="120"/>
        <w:jc w:val="both"/>
      </w:pPr>
      <w:r w:rsidRPr="0022701D">
        <w:rPr>
          <w:color w:val="000000"/>
        </w:rPr>
        <w:t xml:space="preserve">17.2 O presente Edital e os seus anexos estão disponíveis no site: </w:t>
      </w:r>
      <w:hyperlink r:id="rId13" w:history="1">
        <w:r w:rsidRPr="00881F15">
          <w:rPr>
            <w:rStyle w:val="Hyperlink"/>
          </w:rPr>
          <w:t>https://afranio.pe.gov.br</w:t>
        </w:r>
      </w:hyperlink>
      <w:r>
        <w:t xml:space="preserve"> </w:t>
      </w:r>
      <w:r w:rsidRPr="0022701D">
        <w:t xml:space="preserve">    </w:t>
      </w:r>
    </w:p>
    <w:p w:rsidR="001B5EC1" w:rsidRPr="0022701D" w:rsidRDefault="001B5EC1" w:rsidP="001B5EC1">
      <w:pPr>
        <w:pStyle w:val="textojustificado"/>
        <w:spacing w:before="120" w:beforeAutospacing="0" w:after="120" w:afterAutospacing="0"/>
        <w:ind w:left="120" w:right="120"/>
        <w:jc w:val="both"/>
        <w:rPr>
          <w:color w:val="FF0000"/>
        </w:rPr>
      </w:pPr>
      <w:r w:rsidRPr="0022701D">
        <w:rPr>
          <w:color w:val="000000"/>
        </w:rPr>
        <w:t xml:space="preserve">17.3 Demais informações podem ser obtidas através do e-mail: </w:t>
      </w:r>
      <w:hyperlink r:id="rId14" w:history="1">
        <w:r w:rsidRPr="00881F15">
          <w:rPr>
            <w:rStyle w:val="Hyperlink"/>
          </w:rPr>
          <w:t>afraniolpg@gmail.com</w:t>
        </w:r>
      </w:hyperlink>
      <w:r w:rsidRPr="0022701D">
        <w:t xml:space="preserve">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17.4 Os casos omissos porventura existentes ficarão a cargo do </w:t>
      </w:r>
      <w:r w:rsidRPr="0022701D">
        <w:t xml:space="preserve">Secretário de </w:t>
      </w:r>
      <w:r>
        <w:t xml:space="preserve">Educação </w:t>
      </w:r>
      <w:r w:rsidRPr="0022701D">
        <w:t xml:space="preserve">do Município de </w:t>
      </w:r>
      <w:r>
        <w:t>Afranio</w:t>
      </w:r>
      <w:r w:rsidRPr="0022701D">
        <w:t>-PE.</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17.5 Eventuais irregularidades relacionadas aos requisitos de participação, constatadas a qualquer tempo, implicarão na desclassificação do proponente.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 xml:space="preserve">17.6 O proponente será o único responsável pela veracidade da proposta e documentos encaminhados, isentando o </w:t>
      </w:r>
      <w:r w:rsidRPr="0022701D">
        <w:t>Município de</w:t>
      </w:r>
      <w:r>
        <w:t xml:space="preserve"> Afranio</w:t>
      </w:r>
      <w:r w:rsidRPr="0022701D">
        <w:t xml:space="preserve"> de</w:t>
      </w:r>
      <w:r w:rsidRPr="0022701D">
        <w:rPr>
          <w:color w:val="000000"/>
        </w:rPr>
        <w:t xml:space="preserve"> qualquer responsabilidade civil ou penal.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17.7 O apoio concedido por meio deste Edital poderá ser acumulado com recursos captados por meio de leis de incentivo fiscal e outros programas e/ou apoios federais, estaduais e municipais.</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17.8 A inscrição implica no conhecimento e concordância dos termos e condições previstos neste Edital, na Lei Complementar  195/2022 (Lei Paulo Gustavo), no Decreto 11.525/2023 (Decreto Paulo Gustavo) e no Decreto 11.453/2023 (Decreto de Fomento).</w:t>
      </w:r>
    </w:p>
    <w:p w:rsidR="001B5EC1" w:rsidRPr="0022701D" w:rsidRDefault="001B5EC1" w:rsidP="001B5EC1">
      <w:pPr>
        <w:pStyle w:val="textojustificado"/>
        <w:spacing w:before="120" w:beforeAutospacing="0" w:after="120" w:afterAutospacing="0"/>
        <w:ind w:left="120" w:right="120"/>
        <w:jc w:val="both"/>
        <w:rPr>
          <w:color w:val="FF0000"/>
        </w:rPr>
      </w:pPr>
      <w:r w:rsidRPr="0022701D">
        <w:rPr>
          <w:color w:val="000000"/>
        </w:rPr>
        <w:t xml:space="preserve">17.9 O </w:t>
      </w:r>
      <w:r w:rsidRPr="0022701D">
        <w:t>resultado do chamamento público regido por este Edital terá validade até o dia 31 de dezembro de 2024.</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17.10 Compõem este Edital os seguintes anexos: </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Anexo I - Categorias de apoio;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Anexo II - Formulário de Inscrição/Plano de Trabalho;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Anexo III - Critérios de seleção;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Anexo IV - Termo de Execução Cultural;</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Anexo V - Relatório de Execução do Objeto;</w:t>
      </w:r>
    </w:p>
    <w:p w:rsidR="001B5EC1" w:rsidRPr="0022701D" w:rsidRDefault="001B5EC1" w:rsidP="001B5EC1">
      <w:pPr>
        <w:pStyle w:val="textojustificado"/>
        <w:spacing w:before="120" w:beforeAutospacing="0" w:after="120" w:afterAutospacing="0"/>
        <w:ind w:left="120" w:right="120"/>
        <w:jc w:val="both"/>
        <w:rPr>
          <w:color w:val="000000"/>
        </w:rPr>
      </w:pPr>
      <w:r w:rsidRPr="0022701D">
        <w:rPr>
          <w:color w:val="000000"/>
        </w:rPr>
        <w:t>Anexo VI - Declaração étnico-racial; e</w:t>
      </w:r>
    </w:p>
    <w:p w:rsidR="001B5EC1" w:rsidRPr="0022701D" w:rsidRDefault="001B5EC1" w:rsidP="001B5EC1">
      <w:pPr>
        <w:pStyle w:val="textojustificado"/>
        <w:spacing w:before="120" w:beforeAutospacing="0" w:after="120" w:afterAutospacing="0"/>
        <w:ind w:left="120" w:right="120"/>
        <w:jc w:val="both"/>
        <w:rPr>
          <w:color w:val="000000"/>
        </w:rPr>
      </w:pPr>
      <w:r>
        <w:rPr>
          <w:color w:val="000000"/>
        </w:rPr>
        <w:t>Anexo VII</w:t>
      </w:r>
      <w:r w:rsidRPr="0022701D">
        <w:rPr>
          <w:color w:val="000000"/>
        </w:rPr>
        <w:t xml:space="preserve"> - Cronograma</w:t>
      </w:r>
    </w:p>
    <w:p w:rsidR="001B5EC1" w:rsidRPr="0022701D" w:rsidRDefault="001B5EC1" w:rsidP="001B5EC1"/>
    <w:p w:rsidR="001B5EC1" w:rsidRPr="0022701D" w:rsidRDefault="001B5EC1" w:rsidP="001B5EC1"/>
    <w:p w:rsidR="001B5EC1" w:rsidRPr="00A543D9" w:rsidRDefault="001B5EC1" w:rsidP="001B5EC1">
      <w:pPr>
        <w:jc w:val="center"/>
        <w:rPr>
          <w:b/>
        </w:rPr>
      </w:pPr>
      <w:r>
        <w:rPr>
          <w:b/>
        </w:rPr>
        <w:t>RICARDO DE ARAÚJO RODRIGUES</w:t>
      </w:r>
    </w:p>
    <w:p w:rsidR="001B5EC1" w:rsidRDefault="001B5EC1" w:rsidP="001B5EC1">
      <w:pPr>
        <w:jc w:val="center"/>
        <w:rPr>
          <w:b/>
        </w:rPr>
      </w:pPr>
      <w:r>
        <w:rPr>
          <w:b/>
        </w:rPr>
        <w:t>Secretário de Educação</w:t>
      </w:r>
    </w:p>
    <w:p w:rsidR="001B5EC1" w:rsidRPr="00A543D9" w:rsidRDefault="001B5EC1" w:rsidP="001B5EC1">
      <w:pPr>
        <w:jc w:val="center"/>
        <w:rPr>
          <w:b/>
        </w:rPr>
      </w:pPr>
      <w:r>
        <w:rPr>
          <w:b/>
        </w:rPr>
        <w:t>Afrânio - PE</w:t>
      </w:r>
    </w:p>
    <w:p w:rsidR="001B5EC1" w:rsidRPr="0022701D" w:rsidRDefault="001B5EC1" w:rsidP="001B5EC1">
      <w:pPr>
        <w:pStyle w:val="textojustificado"/>
        <w:spacing w:before="120" w:after="120"/>
        <w:ind w:left="120" w:right="120"/>
        <w:jc w:val="center"/>
        <w:rPr>
          <w:rFonts w:eastAsiaTheme="minorHAnsi"/>
          <w:b/>
          <w:kern w:val="2"/>
          <w:lang w:eastAsia="en-US"/>
        </w:rPr>
      </w:pPr>
    </w:p>
    <w:p w:rsidR="000119F9" w:rsidRPr="0016300D" w:rsidRDefault="000119F9" w:rsidP="000119F9">
      <w:pPr>
        <w:rPr>
          <w:b/>
        </w:rPr>
      </w:pPr>
    </w:p>
    <w:sectPr w:rsidR="000119F9" w:rsidRPr="0016300D" w:rsidSect="00CC0269">
      <w:headerReference w:type="default" r:id="rId15"/>
      <w:footerReference w:type="default" r:id="rId16"/>
      <w:pgSz w:w="12240" w:h="15840"/>
      <w:pgMar w:top="460" w:right="1000" w:bottom="420" w:left="1060" w:header="567" w:footer="56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E41" w:rsidRDefault="00DF5E41" w:rsidP="0002004A">
      <w:r>
        <w:separator/>
      </w:r>
    </w:p>
  </w:endnote>
  <w:endnote w:type="continuationSeparator" w:id="1">
    <w:p w:rsidR="00DF5E41" w:rsidRDefault="00DF5E41" w:rsidP="000200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TE1BE865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E0" w:rsidRDefault="0094782A" w:rsidP="00FE0BAF">
    <w:pPr>
      <w:pStyle w:val="Cabealho"/>
      <w:pBdr>
        <w:top w:val="single" w:sz="4" w:space="1" w:color="auto"/>
      </w:pBdr>
      <w:jc w:val="center"/>
      <w:rPr>
        <w:rFonts w:ascii="Verdana" w:hAnsi="Verdana"/>
        <w:noProof/>
        <w:color w:val="0D0D0D"/>
        <w:sz w:val="16"/>
      </w:rPr>
    </w:pPr>
    <w:r w:rsidRPr="002B5138">
      <w:rPr>
        <w:rFonts w:ascii="Verdana" w:hAnsi="Verdana"/>
        <w:noProof/>
        <w:color w:val="0D0D0D"/>
        <w:sz w:val="16"/>
      </w:rPr>
      <w:t xml:space="preserve">SECRETARIA </w:t>
    </w:r>
    <w:r w:rsidR="002B5138" w:rsidRPr="002B5138">
      <w:rPr>
        <w:rFonts w:ascii="Verdana" w:hAnsi="Verdana"/>
        <w:noProof/>
        <w:color w:val="0D0D0D"/>
        <w:sz w:val="16"/>
      </w:rPr>
      <w:t xml:space="preserve">MUNICIPAL </w:t>
    </w:r>
    <w:r w:rsidRPr="002B5138">
      <w:rPr>
        <w:rFonts w:ascii="Verdana" w:hAnsi="Verdana"/>
        <w:noProof/>
        <w:color w:val="0D0D0D"/>
        <w:sz w:val="16"/>
      </w:rPr>
      <w:t xml:space="preserve">DE </w:t>
    </w:r>
    <w:r w:rsidR="009626E0">
      <w:rPr>
        <w:rFonts w:ascii="Verdana" w:hAnsi="Verdana"/>
        <w:noProof/>
        <w:color w:val="0D0D0D"/>
        <w:sz w:val="16"/>
      </w:rPr>
      <w:t>EDUCAÇÃO – DIVISÃO DE CULTURA</w:t>
    </w:r>
  </w:p>
  <w:p w:rsidR="0094782A" w:rsidRPr="002B5138" w:rsidRDefault="009626E0" w:rsidP="00FE0BAF">
    <w:pPr>
      <w:pStyle w:val="Cabealho"/>
      <w:pBdr>
        <w:top w:val="single" w:sz="4" w:space="1" w:color="auto"/>
      </w:pBdr>
      <w:jc w:val="center"/>
      <w:rPr>
        <w:rFonts w:ascii="Verdana" w:hAnsi="Verdana"/>
        <w:sz w:val="18"/>
      </w:rPr>
    </w:pPr>
    <w:r>
      <w:rPr>
        <w:rFonts w:ascii="Verdana" w:hAnsi="Verdana"/>
        <w:sz w:val="18"/>
      </w:rPr>
      <w:t>Rua Cel Clementino Coelho - 203</w:t>
    </w:r>
    <w:r w:rsidR="0094782A" w:rsidRPr="002B5138">
      <w:rPr>
        <w:rFonts w:ascii="Verdana" w:hAnsi="Verdana"/>
        <w:sz w:val="18"/>
      </w:rPr>
      <w:t xml:space="preserve"> – Centro – Afrânio – PE – CEP 56360-000</w:t>
    </w:r>
    <w:r w:rsidR="0094782A" w:rsidRPr="002B5138">
      <w:rPr>
        <w:rFonts w:ascii="Verdana" w:hAnsi="Verdana"/>
        <w:sz w:val="18"/>
      </w:rPr>
      <w:br/>
      <w:t>Fone: (87) 3868-1054 – CNPJ</w:t>
    </w:r>
    <w:r>
      <w:rPr>
        <w:rFonts w:ascii="Verdana" w:hAnsi="Verdana"/>
        <w:sz w:val="18"/>
      </w:rPr>
      <w:t>: 10.358.174/0001-84</w:t>
    </w:r>
  </w:p>
  <w:p w:rsidR="0094782A" w:rsidRDefault="0094782A" w:rsidP="00FE0BAF">
    <w:pPr>
      <w:pStyle w:val="Rodap"/>
      <w:jc w:val="center"/>
    </w:pPr>
  </w:p>
  <w:p w:rsidR="0094782A" w:rsidRPr="00FE0BAF" w:rsidRDefault="0094782A" w:rsidP="00FE0BA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E41" w:rsidRDefault="00DF5E41" w:rsidP="0002004A">
      <w:r>
        <w:separator/>
      </w:r>
    </w:p>
  </w:footnote>
  <w:footnote w:type="continuationSeparator" w:id="1">
    <w:p w:rsidR="00DF5E41" w:rsidRDefault="00DF5E41" w:rsidP="000200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2A" w:rsidRDefault="0094782A" w:rsidP="0002004A">
    <w:pPr>
      <w:pStyle w:val="Cabealho"/>
      <w:jc w:val="center"/>
    </w:pPr>
    <w:r w:rsidRPr="00ED2DC2">
      <w:rPr>
        <w:noProof/>
      </w:rPr>
      <w:drawing>
        <wp:inline distT="0" distB="0" distL="0" distR="0">
          <wp:extent cx="2094374" cy="1104900"/>
          <wp:effectExtent l="19050" t="0" r="1126"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9553" cy="1107632"/>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B606A"/>
    <w:multiLevelType w:val="multilevel"/>
    <w:tmpl w:val="F662CB1E"/>
    <w:lvl w:ilvl="0">
      <w:start w:val="1"/>
      <w:numFmt w:val="decimal"/>
      <w:lvlText w:val="%1."/>
      <w:lvlJc w:val="left"/>
      <w:pPr>
        <w:ind w:left="1051" w:hanging="896"/>
      </w:pPr>
      <w:rPr>
        <w:rFonts w:hint="default"/>
        <w:spacing w:val="-1"/>
        <w:w w:val="105"/>
        <w:lang w:val="pt-PT" w:eastAsia="en-US" w:bidi="ar-SA"/>
      </w:rPr>
    </w:lvl>
    <w:lvl w:ilvl="1">
      <w:start w:val="1"/>
      <w:numFmt w:val="decimal"/>
      <w:lvlText w:val="%1.%2."/>
      <w:lvlJc w:val="left"/>
      <w:pPr>
        <w:ind w:left="1049" w:hanging="889"/>
      </w:pPr>
      <w:rPr>
        <w:rFonts w:hint="default"/>
        <w:spacing w:val="-1"/>
        <w:w w:val="98"/>
        <w:lang w:val="pt-PT" w:eastAsia="en-US" w:bidi="ar-SA"/>
      </w:rPr>
    </w:lvl>
    <w:lvl w:ilvl="2">
      <w:start w:val="1"/>
      <w:numFmt w:val="decimal"/>
      <w:lvlText w:val="%1.%2.%3."/>
      <w:lvlJc w:val="left"/>
      <w:pPr>
        <w:ind w:left="1351" w:hanging="889"/>
      </w:pPr>
      <w:rPr>
        <w:rFonts w:ascii="Calibri" w:eastAsia="Calibri" w:hAnsi="Calibri" w:cs="Calibri" w:hint="default"/>
        <w:spacing w:val="-1"/>
        <w:w w:val="101"/>
        <w:sz w:val="15"/>
        <w:szCs w:val="15"/>
        <w:lang w:val="pt-PT" w:eastAsia="en-US" w:bidi="ar-SA"/>
      </w:rPr>
    </w:lvl>
    <w:lvl w:ilvl="3">
      <w:start w:val="1"/>
      <w:numFmt w:val="decimal"/>
      <w:lvlText w:val="%1.%2.%3.%4."/>
      <w:lvlJc w:val="left"/>
      <w:pPr>
        <w:ind w:left="838" w:hanging="889"/>
      </w:pPr>
      <w:rPr>
        <w:rFonts w:ascii="Calibri" w:eastAsia="Calibri" w:hAnsi="Calibri" w:cs="Calibri" w:hint="default"/>
        <w:spacing w:val="-1"/>
        <w:w w:val="99"/>
        <w:sz w:val="15"/>
        <w:szCs w:val="15"/>
        <w:lang w:val="pt-PT" w:eastAsia="en-US" w:bidi="ar-SA"/>
      </w:rPr>
    </w:lvl>
    <w:lvl w:ilvl="4">
      <w:numFmt w:val="bullet"/>
      <w:lvlText w:val="•"/>
      <w:lvlJc w:val="left"/>
      <w:pPr>
        <w:ind w:left="1060" w:hanging="889"/>
      </w:pPr>
      <w:rPr>
        <w:rFonts w:hint="default"/>
        <w:lang w:val="pt-PT" w:eastAsia="en-US" w:bidi="ar-SA"/>
      </w:rPr>
    </w:lvl>
    <w:lvl w:ilvl="5">
      <w:numFmt w:val="bullet"/>
      <w:lvlText w:val="•"/>
      <w:lvlJc w:val="left"/>
      <w:pPr>
        <w:ind w:left="1360" w:hanging="889"/>
      </w:pPr>
      <w:rPr>
        <w:rFonts w:hint="default"/>
        <w:lang w:val="pt-PT" w:eastAsia="en-US" w:bidi="ar-SA"/>
      </w:rPr>
    </w:lvl>
    <w:lvl w:ilvl="6">
      <w:numFmt w:val="bullet"/>
      <w:lvlText w:val="•"/>
      <w:lvlJc w:val="left"/>
      <w:pPr>
        <w:ind w:left="3124" w:hanging="889"/>
      </w:pPr>
      <w:rPr>
        <w:rFonts w:hint="default"/>
        <w:lang w:val="pt-PT" w:eastAsia="en-US" w:bidi="ar-SA"/>
      </w:rPr>
    </w:lvl>
    <w:lvl w:ilvl="7">
      <w:numFmt w:val="bullet"/>
      <w:lvlText w:val="•"/>
      <w:lvlJc w:val="left"/>
      <w:pPr>
        <w:ind w:left="4888" w:hanging="889"/>
      </w:pPr>
      <w:rPr>
        <w:rFonts w:hint="default"/>
        <w:lang w:val="pt-PT" w:eastAsia="en-US" w:bidi="ar-SA"/>
      </w:rPr>
    </w:lvl>
    <w:lvl w:ilvl="8">
      <w:numFmt w:val="bullet"/>
      <w:lvlText w:val="•"/>
      <w:lvlJc w:val="left"/>
      <w:pPr>
        <w:ind w:left="6652" w:hanging="889"/>
      </w:pPr>
      <w:rPr>
        <w:rFonts w:hint="default"/>
        <w:lang w:val="pt-PT" w:eastAsia="en-US" w:bidi="ar-SA"/>
      </w:rPr>
    </w:lvl>
  </w:abstractNum>
  <w:abstractNum w:abstractNumId="1">
    <w:nsid w:val="06CC6CFA"/>
    <w:multiLevelType w:val="multilevel"/>
    <w:tmpl w:val="28826D9E"/>
    <w:lvl w:ilvl="0">
      <w:start w:val="14"/>
      <w:numFmt w:val="decimal"/>
      <w:lvlText w:val="%1."/>
      <w:lvlJc w:val="left"/>
      <w:pPr>
        <w:ind w:left="660" w:hanging="660"/>
      </w:pPr>
      <w:rPr>
        <w:rFonts w:hint="default"/>
        <w:w w:val="95"/>
      </w:rPr>
    </w:lvl>
    <w:lvl w:ilvl="1">
      <w:start w:val="1"/>
      <w:numFmt w:val="decimal"/>
      <w:lvlText w:val="%1.%2."/>
      <w:lvlJc w:val="left"/>
      <w:pPr>
        <w:ind w:left="720" w:hanging="720"/>
      </w:pPr>
      <w:rPr>
        <w:rFonts w:hint="default"/>
        <w:w w:val="95"/>
      </w:rPr>
    </w:lvl>
    <w:lvl w:ilvl="2">
      <w:start w:val="1"/>
      <w:numFmt w:val="decimal"/>
      <w:lvlText w:val="%1.%2.%3."/>
      <w:lvlJc w:val="left"/>
      <w:pPr>
        <w:ind w:left="720" w:hanging="720"/>
      </w:pPr>
      <w:rPr>
        <w:rFonts w:hint="default"/>
        <w:w w:val="95"/>
      </w:rPr>
    </w:lvl>
    <w:lvl w:ilvl="3">
      <w:start w:val="1"/>
      <w:numFmt w:val="decimal"/>
      <w:lvlText w:val="%1.%2.%3.%4."/>
      <w:lvlJc w:val="left"/>
      <w:pPr>
        <w:ind w:left="1080" w:hanging="1080"/>
      </w:pPr>
      <w:rPr>
        <w:rFonts w:hint="default"/>
        <w:w w:val="95"/>
      </w:rPr>
    </w:lvl>
    <w:lvl w:ilvl="4">
      <w:start w:val="1"/>
      <w:numFmt w:val="decimal"/>
      <w:lvlText w:val="%1.%2.%3.%4.%5."/>
      <w:lvlJc w:val="left"/>
      <w:pPr>
        <w:ind w:left="1440" w:hanging="1440"/>
      </w:pPr>
      <w:rPr>
        <w:rFonts w:hint="default"/>
        <w:w w:val="95"/>
      </w:rPr>
    </w:lvl>
    <w:lvl w:ilvl="5">
      <w:start w:val="1"/>
      <w:numFmt w:val="decimal"/>
      <w:lvlText w:val="%1.%2.%3.%4.%5.%6."/>
      <w:lvlJc w:val="left"/>
      <w:pPr>
        <w:ind w:left="1440" w:hanging="1440"/>
      </w:pPr>
      <w:rPr>
        <w:rFonts w:hint="default"/>
        <w:w w:val="95"/>
      </w:rPr>
    </w:lvl>
    <w:lvl w:ilvl="6">
      <w:start w:val="1"/>
      <w:numFmt w:val="decimal"/>
      <w:lvlText w:val="%1.%2.%3.%4.%5.%6.%7."/>
      <w:lvlJc w:val="left"/>
      <w:pPr>
        <w:ind w:left="1800" w:hanging="1800"/>
      </w:pPr>
      <w:rPr>
        <w:rFonts w:hint="default"/>
        <w:w w:val="95"/>
      </w:rPr>
    </w:lvl>
    <w:lvl w:ilvl="7">
      <w:start w:val="1"/>
      <w:numFmt w:val="decimal"/>
      <w:lvlText w:val="%1.%2.%3.%4.%5.%6.%7.%8."/>
      <w:lvlJc w:val="left"/>
      <w:pPr>
        <w:ind w:left="2160" w:hanging="2160"/>
      </w:pPr>
      <w:rPr>
        <w:rFonts w:hint="default"/>
        <w:w w:val="95"/>
      </w:rPr>
    </w:lvl>
    <w:lvl w:ilvl="8">
      <w:start w:val="1"/>
      <w:numFmt w:val="decimal"/>
      <w:lvlText w:val="%1.%2.%3.%4.%5.%6.%7.%8.%9."/>
      <w:lvlJc w:val="left"/>
      <w:pPr>
        <w:ind w:left="2160" w:hanging="2160"/>
      </w:pPr>
      <w:rPr>
        <w:rFonts w:hint="default"/>
        <w:w w:val="95"/>
      </w:rPr>
    </w:lvl>
  </w:abstractNum>
  <w:abstractNum w:abstractNumId="2">
    <w:nsid w:val="09424FDB"/>
    <w:multiLevelType w:val="hybridMultilevel"/>
    <w:tmpl w:val="517A3A08"/>
    <w:lvl w:ilvl="0" w:tplc="C13E02BC">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9A231FE"/>
    <w:multiLevelType w:val="hybridMultilevel"/>
    <w:tmpl w:val="93F257C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EED3DA4"/>
    <w:multiLevelType w:val="multilevel"/>
    <w:tmpl w:val="D4E604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0F833AC6"/>
    <w:multiLevelType w:val="multilevel"/>
    <w:tmpl w:val="D6AE8DB8"/>
    <w:lvl w:ilvl="0">
      <w:start w:val="16"/>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101F237F"/>
    <w:multiLevelType w:val="multilevel"/>
    <w:tmpl w:val="F89E7572"/>
    <w:lvl w:ilvl="0">
      <w:start w:val="7"/>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1C5104C5"/>
    <w:multiLevelType w:val="hybridMultilevel"/>
    <w:tmpl w:val="395E4A2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D1B3EC6"/>
    <w:multiLevelType w:val="multilevel"/>
    <w:tmpl w:val="CFE2A150"/>
    <w:lvl w:ilvl="0">
      <w:start w:val="16"/>
      <w:numFmt w:val="decimal"/>
      <w:lvlText w:val="%1."/>
      <w:lvlJc w:val="left"/>
      <w:pPr>
        <w:ind w:left="660" w:hanging="660"/>
      </w:pPr>
      <w:rPr>
        <w:rFonts w:hint="default"/>
        <w:w w:val="95"/>
      </w:rPr>
    </w:lvl>
    <w:lvl w:ilvl="1">
      <w:start w:val="2"/>
      <w:numFmt w:val="decimal"/>
      <w:lvlText w:val="%1.%2."/>
      <w:lvlJc w:val="left"/>
      <w:pPr>
        <w:ind w:left="720" w:hanging="720"/>
      </w:pPr>
      <w:rPr>
        <w:rFonts w:hint="default"/>
        <w:w w:val="95"/>
      </w:rPr>
    </w:lvl>
    <w:lvl w:ilvl="2">
      <w:start w:val="1"/>
      <w:numFmt w:val="decimal"/>
      <w:lvlText w:val="%1.%2.%3."/>
      <w:lvlJc w:val="left"/>
      <w:pPr>
        <w:ind w:left="720" w:hanging="720"/>
      </w:pPr>
      <w:rPr>
        <w:rFonts w:hint="default"/>
        <w:w w:val="95"/>
      </w:rPr>
    </w:lvl>
    <w:lvl w:ilvl="3">
      <w:start w:val="1"/>
      <w:numFmt w:val="decimal"/>
      <w:lvlText w:val="%1.%2.%3.%4."/>
      <w:lvlJc w:val="left"/>
      <w:pPr>
        <w:ind w:left="1080" w:hanging="1080"/>
      </w:pPr>
      <w:rPr>
        <w:rFonts w:hint="default"/>
        <w:w w:val="95"/>
      </w:rPr>
    </w:lvl>
    <w:lvl w:ilvl="4">
      <w:start w:val="1"/>
      <w:numFmt w:val="decimal"/>
      <w:lvlText w:val="%1.%2.%3.%4.%5."/>
      <w:lvlJc w:val="left"/>
      <w:pPr>
        <w:ind w:left="1440" w:hanging="1440"/>
      </w:pPr>
      <w:rPr>
        <w:rFonts w:hint="default"/>
        <w:w w:val="95"/>
      </w:rPr>
    </w:lvl>
    <w:lvl w:ilvl="5">
      <w:start w:val="1"/>
      <w:numFmt w:val="decimal"/>
      <w:lvlText w:val="%1.%2.%3.%4.%5.%6."/>
      <w:lvlJc w:val="left"/>
      <w:pPr>
        <w:ind w:left="1440" w:hanging="1440"/>
      </w:pPr>
      <w:rPr>
        <w:rFonts w:hint="default"/>
        <w:w w:val="95"/>
      </w:rPr>
    </w:lvl>
    <w:lvl w:ilvl="6">
      <w:start w:val="1"/>
      <w:numFmt w:val="decimal"/>
      <w:lvlText w:val="%1.%2.%3.%4.%5.%6.%7."/>
      <w:lvlJc w:val="left"/>
      <w:pPr>
        <w:ind w:left="1800" w:hanging="1800"/>
      </w:pPr>
      <w:rPr>
        <w:rFonts w:hint="default"/>
        <w:w w:val="95"/>
      </w:rPr>
    </w:lvl>
    <w:lvl w:ilvl="7">
      <w:start w:val="1"/>
      <w:numFmt w:val="decimal"/>
      <w:lvlText w:val="%1.%2.%3.%4.%5.%6.%7.%8."/>
      <w:lvlJc w:val="left"/>
      <w:pPr>
        <w:ind w:left="2160" w:hanging="2160"/>
      </w:pPr>
      <w:rPr>
        <w:rFonts w:hint="default"/>
        <w:w w:val="95"/>
      </w:rPr>
    </w:lvl>
    <w:lvl w:ilvl="8">
      <w:start w:val="1"/>
      <w:numFmt w:val="decimal"/>
      <w:lvlText w:val="%1.%2.%3.%4.%5.%6.%7.%8.%9."/>
      <w:lvlJc w:val="left"/>
      <w:pPr>
        <w:ind w:left="2160" w:hanging="2160"/>
      </w:pPr>
      <w:rPr>
        <w:rFonts w:hint="default"/>
        <w:w w:val="95"/>
      </w:rPr>
    </w:lvl>
  </w:abstractNum>
  <w:abstractNum w:abstractNumId="9">
    <w:nsid w:val="1F4E1ACB"/>
    <w:multiLevelType w:val="multilevel"/>
    <w:tmpl w:val="6E6EE8F2"/>
    <w:lvl w:ilvl="0">
      <w:start w:val="9"/>
      <w:numFmt w:val="decimal"/>
      <w:lvlText w:val="%1."/>
      <w:lvlJc w:val="left"/>
      <w:pPr>
        <w:ind w:left="540" w:hanging="540"/>
      </w:pPr>
      <w:rPr>
        <w:rFonts w:hint="default"/>
        <w:w w:val="95"/>
      </w:rPr>
    </w:lvl>
    <w:lvl w:ilvl="1">
      <w:start w:val="1"/>
      <w:numFmt w:val="decimal"/>
      <w:lvlText w:val="%1.%2."/>
      <w:lvlJc w:val="left"/>
      <w:pPr>
        <w:ind w:left="720" w:hanging="720"/>
      </w:pPr>
      <w:rPr>
        <w:rFonts w:hint="default"/>
        <w:b w:val="0"/>
        <w:w w:val="95"/>
      </w:rPr>
    </w:lvl>
    <w:lvl w:ilvl="2">
      <w:start w:val="7"/>
      <w:numFmt w:val="decimal"/>
      <w:lvlText w:val="%1.%2.%3."/>
      <w:lvlJc w:val="left"/>
      <w:pPr>
        <w:ind w:left="720" w:hanging="720"/>
      </w:pPr>
      <w:rPr>
        <w:rFonts w:hint="default"/>
        <w:w w:val="95"/>
      </w:rPr>
    </w:lvl>
    <w:lvl w:ilvl="3">
      <w:start w:val="1"/>
      <w:numFmt w:val="decimal"/>
      <w:lvlText w:val="%1.%2.%3.%4."/>
      <w:lvlJc w:val="left"/>
      <w:pPr>
        <w:ind w:left="1080" w:hanging="1080"/>
      </w:pPr>
      <w:rPr>
        <w:rFonts w:hint="default"/>
        <w:w w:val="95"/>
      </w:rPr>
    </w:lvl>
    <w:lvl w:ilvl="4">
      <w:start w:val="1"/>
      <w:numFmt w:val="decimal"/>
      <w:lvlText w:val="%1.%2.%3.%4.%5."/>
      <w:lvlJc w:val="left"/>
      <w:pPr>
        <w:ind w:left="1440" w:hanging="1440"/>
      </w:pPr>
      <w:rPr>
        <w:rFonts w:hint="default"/>
        <w:w w:val="95"/>
      </w:rPr>
    </w:lvl>
    <w:lvl w:ilvl="5">
      <w:start w:val="1"/>
      <w:numFmt w:val="decimal"/>
      <w:lvlText w:val="%1.%2.%3.%4.%5.%6."/>
      <w:lvlJc w:val="left"/>
      <w:pPr>
        <w:ind w:left="1440" w:hanging="1440"/>
      </w:pPr>
      <w:rPr>
        <w:rFonts w:hint="default"/>
        <w:w w:val="95"/>
      </w:rPr>
    </w:lvl>
    <w:lvl w:ilvl="6">
      <w:start w:val="1"/>
      <w:numFmt w:val="decimal"/>
      <w:lvlText w:val="%1.%2.%3.%4.%5.%6.%7."/>
      <w:lvlJc w:val="left"/>
      <w:pPr>
        <w:ind w:left="1800" w:hanging="1800"/>
      </w:pPr>
      <w:rPr>
        <w:rFonts w:hint="default"/>
        <w:w w:val="95"/>
      </w:rPr>
    </w:lvl>
    <w:lvl w:ilvl="7">
      <w:start w:val="1"/>
      <w:numFmt w:val="decimal"/>
      <w:lvlText w:val="%1.%2.%3.%4.%5.%6.%7.%8."/>
      <w:lvlJc w:val="left"/>
      <w:pPr>
        <w:ind w:left="2160" w:hanging="2160"/>
      </w:pPr>
      <w:rPr>
        <w:rFonts w:hint="default"/>
        <w:w w:val="95"/>
      </w:rPr>
    </w:lvl>
    <w:lvl w:ilvl="8">
      <w:start w:val="1"/>
      <w:numFmt w:val="decimal"/>
      <w:lvlText w:val="%1.%2.%3.%4.%5.%6.%7.%8.%9."/>
      <w:lvlJc w:val="left"/>
      <w:pPr>
        <w:ind w:left="2160" w:hanging="2160"/>
      </w:pPr>
      <w:rPr>
        <w:rFonts w:hint="default"/>
        <w:w w:val="95"/>
      </w:rPr>
    </w:lvl>
  </w:abstractNum>
  <w:abstractNum w:abstractNumId="10">
    <w:nsid w:val="38DC0300"/>
    <w:multiLevelType w:val="hybridMultilevel"/>
    <w:tmpl w:val="344A7C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D313FF3"/>
    <w:multiLevelType w:val="multilevel"/>
    <w:tmpl w:val="3B2A06EE"/>
    <w:lvl w:ilvl="0">
      <w:start w:val="11"/>
      <w:numFmt w:val="decimal"/>
      <w:lvlText w:val="%1."/>
      <w:lvlJc w:val="left"/>
      <w:pPr>
        <w:ind w:left="660" w:hanging="660"/>
      </w:pPr>
      <w:rPr>
        <w:rFonts w:hint="default"/>
        <w:w w:val="95"/>
      </w:rPr>
    </w:lvl>
    <w:lvl w:ilvl="1">
      <w:start w:val="1"/>
      <w:numFmt w:val="decimal"/>
      <w:lvlText w:val="%1.%2."/>
      <w:lvlJc w:val="left"/>
      <w:pPr>
        <w:ind w:left="720" w:hanging="720"/>
      </w:pPr>
      <w:rPr>
        <w:rFonts w:hint="default"/>
        <w:w w:val="95"/>
      </w:rPr>
    </w:lvl>
    <w:lvl w:ilvl="2">
      <w:start w:val="7"/>
      <w:numFmt w:val="decimal"/>
      <w:lvlText w:val="%1.%2.%3."/>
      <w:lvlJc w:val="left"/>
      <w:pPr>
        <w:ind w:left="720" w:hanging="720"/>
      </w:pPr>
      <w:rPr>
        <w:rFonts w:hint="default"/>
        <w:w w:val="95"/>
      </w:rPr>
    </w:lvl>
    <w:lvl w:ilvl="3">
      <w:start w:val="1"/>
      <w:numFmt w:val="decimal"/>
      <w:lvlText w:val="%1.%2.%3.%4."/>
      <w:lvlJc w:val="left"/>
      <w:pPr>
        <w:ind w:left="1080" w:hanging="1080"/>
      </w:pPr>
      <w:rPr>
        <w:rFonts w:hint="default"/>
        <w:w w:val="95"/>
      </w:rPr>
    </w:lvl>
    <w:lvl w:ilvl="4">
      <w:start w:val="1"/>
      <w:numFmt w:val="decimal"/>
      <w:lvlText w:val="%1.%2.%3.%4.%5."/>
      <w:lvlJc w:val="left"/>
      <w:pPr>
        <w:ind w:left="1440" w:hanging="1440"/>
      </w:pPr>
      <w:rPr>
        <w:rFonts w:hint="default"/>
        <w:w w:val="95"/>
      </w:rPr>
    </w:lvl>
    <w:lvl w:ilvl="5">
      <w:start w:val="1"/>
      <w:numFmt w:val="decimal"/>
      <w:lvlText w:val="%1.%2.%3.%4.%5.%6."/>
      <w:lvlJc w:val="left"/>
      <w:pPr>
        <w:ind w:left="1440" w:hanging="1440"/>
      </w:pPr>
      <w:rPr>
        <w:rFonts w:hint="default"/>
        <w:w w:val="95"/>
      </w:rPr>
    </w:lvl>
    <w:lvl w:ilvl="6">
      <w:start w:val="1"/>
      <w:numFmt w:val="decimal"/>
      <w:lvlText w:val="%1.%2.%3.%4.%5.%6.%7."/>
      <w:lvlJc w:val="left"/>
      <w:pPr>
        <w:ind w:left="1800" w:hanging="1800"/>
      </w:pPr>
      <w:rPr>
        <w:rFonts w:hint="default"/>
        <w:w w:val="95"/>
      </w:rPr>
    </w:lvl>
    <w:lvl w:ilvl="7">
      <w:start w:val="1"/>
      <w:numFmt w:val="decimal"/>
      <w:lvlText w:val="%1.%2.%3.%4.%5.%6.%7.%8."/>
      <w:lvlJc w:val="left"/>
      <w:pPr>
        <w:ind w:left="2160" w:hanging="2160"/>
      </w:pPr>
      <w:rPr>
        <w:rFonts w:hint="default"/>
        <w:w w:val="95"/>
      </w:rPr>
    </w:lvl>
    <w:lvl w:ilvl="8">
      <w:start w:val="1"/>
      <w:numFmt w:val="decimal"/>
      <w:lvlText w:val="%1.%2.%3.%4.%5.%6.%7.%8.%9."/>
      <w:lvlJc w:val="left"/>
      <w:pPr>
        <w:ind w:left="2160" w:hanging="2160"/>
      </w:pPr>
      <w:rPr>
        <w:rFonts w:hint="default"/>
        <w:w w:val="95"/>
      </w:rPr>
    </w:lvl>
  </w:abstractNum>
  <w:abstractNum w:abstractNumId="12">
    <w:nsid w:val="41620843"/>
    <w:multiLevelType w:val="multilevel"/>
    <w:tmpl w:val="697C3B98"/>
    <w:lvl w:ilvl="0">
      <w:start w:val="16"/>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46321D5A"/>
    <w:multiLevelType w:val="multilevel"/>
    <w:tmpl w:val="54B896F6"/>
    <w:lvl w:ilvl="0">
      <w:start w:val="7"/>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nsid w:val="4FAF2A09"/>
    <w:multiLevelType w:val="hybridMultilevel"/>
    <w:tmpl w:val="B4689F8C"/>
    <w:lvl w:ilvl="0" w:tplc="65B8BF32">
      <w:start w:val="1"/>
      <w:numFmt w:val="lowerLetter"/>
      <w:lvlText w:val="%1."/>
      <w:lvlJc w:val="left"/>
      <w:pPr>
        <w:ind w:left="1091" w:hanging="272"/>
      </w:pPr>
      <w:rPr>
        <w:rFonts w:ascii="Verdana" w:eastAsia="Verdana" w:hAnsi="Verdana" w:cs="Verdana" w:hint="default"/>
        <w:b/>
        <w:bCs/>
        <w:spacing w:val="-1"/>
        <w:w w:val="99"/>
        <w:sz w:val="20"/>
        <w:szCs w:val="20"/>
        <w:lang w:val="pt-PT" w:eastAsia="pt-PT" w:bidi="pt-PT"/>
      </w:rPr>
    </w:lvl>
    <w:lvl w:ilvl="1" w:tplc="6114BD88">
      <w:numFmt w:val="bullet"/>
      <w:lvlText w:val="•"/>
      <w:lvlJc w:val="left"/>
      <w:pPr>
        <w:ind w:left="2062" w:hanging="272"/>
      </w:pPr>
      <w:rPr>
        <w:rFonts w:hint="default"/>
        <w:lang w:val="pt-PT" w:eastAsia="pt-PT" w:bidi="pt-PT"/>
      </w:rPr>
    </w:lvl>
    <w:lvl w:ilvl="2" w:tplc="BABAF92C">
      <w:numFmt w:val="bullet"/>
      <w:lvlText w:val="•"/>
      <w:lvlJc w:val="left"/>
      <w:pPr>
        <w:ind w:left="3025" w:hanging="272"/>
      </w:pPr>
      <w:rPr>
        <w:rFonts w:hint="default"/>
        <w:lang w:val="pt-PT" w:eastAsia="pt-PT" w:bidi="pt-PT"/>
      </w:rPr>
    </w:lvl>
    <w:lvl w:ilvl="3" w:tplc="D76CEF04">
      <w:numFmt w:val="bullet"/>
      <w:lvlText w:val="•"/>
      <w:lvlJc w:val="left"/>
      <w:pPr>
        <w:ind w:left="3987" w:hanging="272"/>
      </w:pPr>
      <w:rPr>
        <w:rFonts w:hint="default"/>
        <w:lang w:val="pt-PT" w:eastAsia="pt-PT" w:bidi="pt-PT"/>
      </w:rPr>
    </w:lvl>
    <w:lvl w:ilvl="4" w:tplc="F12E017A">
      <w:numFmt w:val="bullet"/>
      <w:lvlText w:val="•"/>
      <w:lvlJc w:val="left"/>
      <w:pPr>
        <w:ind w:left="4950" w:hanging="272"/>
      </w:pPr>
      <w:rPr>
        <w:rFonts w:hint="default"/>
        <w:lang w:val="pt-PT" w:eastAsia="pt-PT" w:bidi="pt-PT"/>
      </w:rPr>
    </w:lvl>
    <w:lvl w:ilvl="5" w:tplc="E92A9DB4">
      <w:numFmt w:val="bullet"/>
      <w:lvlText w:val="•"/>
      <w:lvlJc w:val="left"/>
      <w:pPr>
        <w:ind w:left="5913" w:hanging="272"/>
      </w:pPr>
      <w:rPr>
        <w:rFonts w:hint="default"/>
        <w:lang w:val="pt-PT" w:eastAsia="pt-PT" w:bidi="pt-PT"/>
      </w:rPr>
    </w:lvl>
    <w:lvl w:ilvl="6" w:tplc="7DB65242">
      <w:numFmt w:val="bullet"/>
      <w:lvlText w:val="•"/>
      <w:lvlJc w:val="left"/>
      <w:pPr>
        <w:ind w:left="6875" w:hanging="272"/>
      </w:pPr>
      <w:rPr>
        <w:rFonts w:hint="default"/>
        <w:lang w:val="pt-PT" w:eastAsia="pt-PT" w:bidi="pt-PT"/>
      </w:rPr>
    </w:lvl>
    <w:lvl w:ilvl="7" w:tplc="FE441AAA">
      <w:numFmt w:val="bullet"/>
      <w:lvlText w:val="•"/>
      <w:lvlJc w:val="left"/>
      <w:pPr>
        <w:ind w:left="7838" w:hanging="272"/>
      </w:pPr>
      <w:rPr>
        <w:rFonts w:hint="default"/>
        <w:lang w:val="pt-PT" w:eastAsia="pt-PT" w:bidi="pt-PT"/>
      </w:rPr>
    </w:lvl>
    <w:lvl w:ilvl="8" w:tplc="63762DBE">
      <w:numFmt w:val="bullet"/>
      <w:lvlText w:val="•"/>
      <w:lvlJc w:val="left"/>
      <w:pPr>
        <w:ind w:left="8801" w:hanging="272"/>
      </w:pPr>
      <w:rPr>
        <w:rFonts w:hint="default"/>
        <w:lang w:val="pt-PT" w:eastAsia="pt-PT" w:bidi="pt-PT"/>
      </w:rPr>
    </w:lvl>
  </w:abstractNum>
  <w:abstractNum w:abstractNumId="15">
    <w:nsid w:val="5F8E1E7C"/>
    <w:multiLevelType w:val="multilevel"/>
    <w:tmpl w:val="46823B06"/>
    <w:lvl w:ilvl="0">
      <w:start w:val="16"/>
      <w:numFmt w:val="decimal"/>
      <w:lvlText w:val="%1."/>
      <w:lvlJc w:val="left"/>
      <w:pPr>
        <w:ind w:left="780" w:hanging="780"/>
      </w:pPr>
      <w:rPr>
        <w:rFonts w:hint="default"/>
        <w:w w:val="95"/>
      </w:rPr>
    </w:lvl>
    <w:lvl w:ilvl="1">
      <w:start w:val="1"/>
      <w:numFmt w:val="decimal"/>
      <w:lvlText w:val="%1.%2."/>
      <w:lvlJc w:val="left"/>
      <w:pPr>
        <w:ind w:left="780" w:hanging="780"/>
      </w:pPr>
      <w:rPr>
        <w:rFonts w:hint="default"/>
        <w:w w:val="95"/>
      </w:rPr>
    </w:lvl>
    <w:lvl w:ilvl="2">
      <w:start w:val="13"/>
      <w:numFmt w:val="decimal"/>
      <w:lvlText w:val="%1.%2.%3."/>
      <w:lvlJc w:val="left"/>
      <w:pPr>
        <w:ind w:left="780" w:hanging="780"/>
      </w:pPr>
      <w:rPr>
        <w:rFonts w:hint="default"/>
        <w:w w:val="95"/>
      </w:rPr>
    </w:lvl>
    <w:lvl w:ilvl="3">
      <w:start w:val="1"/>
      <w:numFmt w:val="decimal"/>
      <w:lvlText w:val="%1.%2.%3.%4."/>
      <w:lvlJc w:val="left"/>
      <w:pPr>
        <w:ind w:left="1080" w:hanging="1080"/>
      </w:pPr>
      <w:rPr>
        <w:rFonts w:hint="default"/>
        <w:w w:val="95"/>
      </w:rPr>
    </w:lvl>
    <w:lvl w:ilvl="4">
      <w:start w:val="1"/>
      <w:numFmt w:val="decimal"/>
      <w:lvlText w:val="%1.%2.%3.%4.%5."/>
      <w:lvlJc w:val="left"/>
      <w:pPr>
        <w:ind w:left="1440" w:hanging="1440"/>
      </w:pPr>
      <w:rPr>
        <w:rFonts w:hint="default"/>
        <w:w w:val="95"/>
      </w:rPr>
    </w:lvl>
    <w:lvl w:ilvl="5">
      <w:start w:val="1"/>
      <w:numFmt w:val="decimal"/>
      <w:lvlText w:val="%1.%2.%3.%4.%5.%6."/>
      <w:lvlJc w:val="left"/>
      <w:pPr>
        <w:ind w:left="1440" w:hanging="1440"/>
      </w:pPr>
      <w:rPr>
        <w:rFonts w:hint="default"/>
        <w:w w:val="95"/>
      </w:rPr>
    </w:lvl>
    <w:lvl w:ilvl="6">
      <w:start w:val="1"/>
      <w:numFmt w:val="decimal"/>
      <w:lvlText w:val="%1.%2.%3.%4.%5.%6.%7."/>
      <w:lvlJc w:val="left"/>
      <w:pPr>
        <w:ind w:left="1800" w:hanging="1800"/>
      </w:pPr>
      <w:rPr>
        <w:rFonts w:hint="default"/>
        <w:w w:val="95"/>
      </w:rPr>
    </w:lvl>
    <w:lvl w:ilvl="7">
      <w:start w:val="1"/>
      <w:numFmt w:val="decimal"/>
      <w:lvlText w:val="%1.%2.%3.%4.%5.%6.%7.%8."/>
      <w:lvlJc w:val="left"/>
      <w:pPr>
        <w:ind w:left="2160" w:hanging="2160"/>
      </w:pPr>
      <w:rPr>
        <w:rFonts w:hint="default"/>
        <w:w w:val="95"/>
      </w:rPr>
    </w:lvl>
    <w:lvl w:ilvl="8">
      <w:start w:val="1"/>
      <w:numFmt w:val="decimal"/>
      <w:lvlText w:val="%1.%2.%3.%4.%5.%6.%7.%8.%9."/>
      <w:lvlJc w:val="left"/>
      <w:pPr>
        <w:ind w:left="2160" w:hanging="2160"/>
      </w:pPr>
      <w:rPr>
        <w:rFonts w:hint="default"/>
        <w:w w:val="95"/>
      </w:rPr>
    </w:lvl>
  </w:abstractNum>
  <w:abstractNum w:abstractNumId="16">
    <w:nsid w:val="692332A2"/>
    <w:multiLevelType w:val="hybridMultilevel"/>
    <w:tmpl w:val="AE0804B8"/>
    <w:lvl w:ilvl="0" w:tplc="1C7C4BCE">
      <w:start w:val="1"/>
      <w:numFmt w:val="lowerLetter"/>
      <w:lvlText w:val="%1)"/>
      <w:lvlJc w:val="left"/>
      <w:pPr>
        <w:ind w:left="704" w:hanging="4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7">
    <w:nsid w:val="6989070F"/>
    <w:multiLevelType w:val="multilevel"/>
    <w:tmpl w:val="0A06F296"/>
    <w:lvl w:ilvl="0">
      <w:start w:val="9"/>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160" w:hanging="2160"/>
      </w:pPr>
      <w:rPr>
        <w:rFonts w:hint="default"/>
        <w:color w:val="auto"/>
      </w:rPr>
    </w:lvl>
  </w:abstractNum>
  <w:abstractNum w:abstractNumId="18">
    <w:nsid w:val="6E452CEF"/>
    <w:multiLevelType w:val="hybridMultilevel"/>
    <w:tmpl w:val="078AB0A0"/>
    <w:lvl w:ilvl="0" w:tplc="999EB5F8">
      <w:start w:val="1"/>
      <w:numFmt w:val="decimalZero"/>
      <w:lvlText w:val="%1."/>
      <w:lvlJc w:val="left"/>
      <w:pPr>
        <w:ind w:left="765" w:hanging="405"/>
      </w:pPr>
      <w:rPr>
        <w:rFonts w:hint="default"/>
        <w:b/>
        <w:color w:val="auto"/>
        <w:sz w:val="20"/>
        <w:szCs w:val="2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05664BA"/>
    <w:multiLevelType w:val="hybridMultilevel"/>
    <w:tmpl w:val="1642234A"/>
    <w:lvl w:ilvl="0" w:tplc="12CECD0C">
      <w:start w:val="1"/>
      <w:numFmt w:val="decimal"/>
      <w:lvlText w:val="%1."/>
      <w:lvlJc w:val="left"/>
      <w:pPr>
        <w:ind w:left="305" w:hanging="149"/>
      </w:pPr>
      <w:rPr>
        <w:rFonts w:ascii="Calibri" w:eastAsia="Calibri" w:hAnsi="Calibri" w:cs="Calibri" w:hint="default"/>
        <w:spacing w:val="-1"/>
        <w:w w:val="105"/>
        <w:sz w:val="15"/>
        <w:szCs w:val="15"/>
        <w:lang w:val="pt-PT" w:eastAsia="en-US" w:bidi="ar-SA"/>
      </w:rPr>
    </w:lvl>
    <w:lvl w:ilvl="1" w:tplc="F7263336">
      <w:numFmt w:val="bullet"/>
      <w:lvlText w:val="•"/>
      <w:lvlJc w:val="left"/>
      <w:pPr>
        <w:ind w:left="1288" w:hanging="149"/>
      </w:pPr>
      <w:rPr>
        <w:rFonts w:hint="default"/>
        <w:lang w:val="pt-PT" w:eastAsia="en-US" w:bidi="ar-SA"/>
      </w:rPr>
    </w:lvl>
    <w:lvl w:ilvl="2" w:tplc="F4120D08">
      <w:numFmt w:val="bullet"/>
      <w:lvlText w:val="•"/>
      <w:lvlJc w:val="left"/>
      <w:pPr>
        <w:ind w:left="2276" w:hanging="149"/>
      </w:pPr>
      <w:rPr>
        <w:rFonts w:hint="default"/>
        <w:lang w:val="pt-PT" w:eastAsia="en-US" w:bidi="ar-SA"/>
      </w:rPr>
    </w:lvl>
    <w:lvl w:ilvl="3" w:tplc="5FCA6566">
      <w:numFmt w:val="bullet"/>
      <w:lvlText w:val="•"/>
      <w:lvlJc w:val="left"/>
      <w:pPr>
        <w:ind w:left="3264" w:hanging="149"/>
      </w:pPr>
      <w:rPr>
        <w:rFonts w:hint="default"/>
        <w:lang w:val="pt-PT" w:eastAsia="en-US" w:bidi="ar-SA"/>
      </w:rPr>
    </w:lvl>
    <w:lvl w:ilvl="4" w:tplc="8698E564">
      <w:numFmt w:val="bullet"/>
      <w:lvlText w:val="•"/>
      <w:lvlJc w:val="left"/>
      <w:pPr>
        <w:ind w:left="4252" w:hanging="149"/>
      </w:pPr>
      <w:rPr>
        <w:rFonts w:hint="default"/>
        <w:lang w:val="pt-PT" w:eastAsia="en-US" w:bidi="ar-SA"/>
      </w:rPr>
    </w:lvl>
    <w:lvl w:ilvl="5" w:tplc="E1901396">
      <w:numFmt w:val="bullet"/>
      <w:lvlText w:val="•"/>
      <w:lvlJc w:val="left"/>
      <w:pPr>
        <w:ind w:left="5240" w:hanging="149"/>
      </w:pPr>
      <w:rPr>
        <w:rFonts w:hint="default"/>
        <w:lang w:val="pt-PT" w:eastAsia="en-US" w:bidi="ar-SA"/>
      </w:rPr>
    </w:lvl>
    <w:lvl w:ilvl="6" w:tplc="D250EF06">
      <w:numFmt w:val="bullet"/>
      <w:lvlText w:val="•"/>
      <w:lvlJc w:val="left"/>
      <w:pPr>
        <w:ind w:left="6228" w:hanging="149"/>
      </w:pPr>
      <w:rPr>
        <w:rFonts w:hint="default"/>
        <w:lang w:val="pt-PT" w:eastAsia="en-US" w:bidi="ar-SA"/>
      </w:rPr>
    </w:lvl>
    <w:lvl w:ilvl="7" w:tplc="39C0D010">
      <w:numFmt w:val="bullet"/>
      <w:lvlText w:val="•"/>
      <w:lvlJc w:val="left"/>
      <w:pPr>
        <w:ind w:left="7216" w:hanging="149"/>
      </w:pPr>
      <w:rPr>
        <w:rFonts w:hint="default"/>
        <w:lang w:val="pt-PT" w:eastAsia="en-US" w:bidi="ar-SA"/>
      </w:rPr>
    </w:lvl>
    <w:lvl w:ilvl="8" w:tplc="769A8E2E">
      <w:numFmt w:val="bullet"/>
      <w:lvlText w:val="•"/>
      <w:lvlJc w:val="left"/>
      <w:pPr>
        <w:ind w:left="8204" w:hanging="149"/>
      </w:pPr>
      <w:rPr>
        <w:rFonts w:hint="default"/>
        <w:lang w:val="pt-PT" w:eastAsia="en-US" w:bidi="ar-SA"/>
      </w:rPr>
    </w:lvl>
  </w:abstractNum>
  <w:abstractNum w:abstractNumId="20">
    <w:nsid w:val="78F17A0C"/>
    <w:multiLevelType w:val="multilevel"/>
    <w:tmpl w:val="D5EAFA78"/>
    <w:lvl w:ilvl="0">
      <w:start w:val="17"/>
      <w:numFmt w:val="decimal"/>
      <w:lvlText w:val="%1"/>
      <w:lvlJc w:val="left"/>
      <w:pPr>
        <w:ind w:left="435" w:hanging="435"/>
      </w:pPr>
      <w:rPr>
        <w:rFonts w:eastAsia="Calibri" w:cs="TTE1BE8658t00" w:hint="default"/>
        <w:color w:val="auto"/>
      </w:rPr>
    </w:lvl>
    <w:lvl w:ilvl="1">
      <w:start w:val="1"/>
      <w:numFmt w:val="decimal"/>
      <w:lvlText w:val="%1.%2"/>
      <w:lvlJc w:val="left"/>
      <w:pPr>
        <w:ind w:left="720" w:hanging="720"/>
      </w:pPr>
      <w:rPr>
        <w:rFonts w:eastAsia="Calibri" w:cs="TTE1BE8658t00" w:hint="default"/>
        <w:color w:val="auto"/>
      </w:rPr>
    </w:lvl>
    <w:lvl w:ilvl="2">
      <w:start w:val="1"/>
      <w:numFmt w:val="decimal"/>
      <w:lvlText w:val="%1.%2.%3"/>
      <w:lvlJc w:val="left"/>
      <w:pPr>
        <w:ind w:left="720" w:hanging="720"/>
      </w:pPr>
      <w:rPr>
        <w:rFonts w:eastAsia="Calibri" w:cs="TTE1BE8658t00" w:hint="default"/>
        <w:color w:val="auto"/>
      </w:rPr>
    </w:lvl>
    <w:lvl w:ilvl="3">
      <w:start w:val="1"/>
      <w:numFmt w:val="decimal"/>
      <w:lvlText w:val="%1.%2.%3.%4"/>
      <w:lvlJc w:val="left"/>
      <w:pPr>
        <w:ind w:left="1080" w:hanging="1080"/>
      </w:pPr>
      <w:rPr>
        <w:rFonts w:eastAsia="Calibri" w:cs="TTE1BE8658t00" w:hint="default"/>
        <w:color w:val="auto"/>
      </w:rPr>
    </w:lvl>
    <w:lvl w:ilvl="4">
      <w:start w:val="1"/>
      <w:numFmt w:val="decimal"/>
      <w:lvlText w:val="%1.%2.%3.%4.%5"/>
      <w:lvlJc w:val="left"/>
      <w:pPr>
        <w:ind w:left="1440" w:hanging="1440"/>
      </w:pPr>
      <w:rPr>
        <w:rFonts w:eastAsia="Calibri" w:cs="TTE1BE8658t00" w:hint="default"/>
        <w:color w:val="auto"/>
      </w:rPr>
    </w:lvl>
    <w:lvl w:ilvl="5">
      <w:start w:val="1"/>
      <w:numFmt w:val="decimal"/>
      <w:lvlText w:val="%1.%2.%3.%4.%5.%6"/>
      <w:lvlJc w:val="left"/>
      <w:pPr>
        <w:ind w:left="1440" w:hanging="1440"/>
      </w:pPr>
      <w:rPr>
        <w:rFonts w:eastAsia="Calibri" w:cs="TTE1BE8658t00" w:hint="default"/>
        <w:color w:val="auto"/>
      </w:rPr>
    </w:lvl>
    <w:lvl w:ilvl="6">
      <w:start w:val="1"/>
      <w:numFmt w:val="decimal"/>
      <w:lvlText w:val="%1.%2.%3.%4.%5.%6.%7"/>
      <w:lvlJc w:val="left"/>
      <w:pPr>
        <w:ind w:left="1800" w:hanging="1800"/>
      </w:pPr>
      <w:rPr>
        <w:rFonts w:eastAsia="Calibri" w:cs="TTE1BE8658t00" w:hint="default"/>
        <w:color w:val="auto"/>
      </w:rPr>
    </w:lvl>
    <w:lvl w:ilvl="7">
      <w:start w:val="1"/>
      <w:numFmt w:val="decimal"/>
      <w:lvlText w:val="%1.%2.%3.%4.%5.%6.%7.%8"/>
      <w:lvlJc w:val="left"/>
      <w:pPr>
        <w:ind w:left="2160" w:hanging="2160"/>
      </w:pPr>
      <w:rPr>
        <w:rFonts w:eastAsia="Calibri" w:cs="TTE1BE8658t00" w:hint="default"/>
        <w:color w:val="auto"/>
      </w:rPr>
    </w:lvl>
    <w:lvl w:ilvl="8">
      <w:start w:val="1"/>
      <w:numFmt w:val="decimal"/>
      <w:lvlText w:val="%1.%2.%3.%4.%5.%6.%7.%8.%9"/>
      <w:lvlJc w:val="left"/>
      <w:pPr>
        <w:ind w:left="2160" w:hanging="2160"/>
      </w:pPr>
      <w:rPr>
        <w:rFonts w:eastAsia="Calibri" w:cs="TTE1BE8658t00" w:hint="default"/>
        <w:color w:val="auto"/>
      </w:rPr>
    </w:lvl>
  </w:abstractNum>
  <w:abstractNum w:abstractNumId="21">
    <w:nsid w:val="79AF7358"/>
    <w:multiLevelType w:val="multilevel"/>
    <w:tmpl w:val="79A2DFD4"/>
    <w:lvl w:ilvl="0">
      <w:start w:val="7"/>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10"/>
  </w:num>
  <w:num w:numId="3">
    <w:abstractNumId w:val="7"/>
  </w:num>
  <w:num w:numId="4">
    <w:abstractNumId w:val="3"/>
  </w:num>
  <w:num w:numId="5">
    <w:abstractNumId w:val="2"/>
  </w:num>
  <w:num w:numId="6">
    <w:abstractNumId w:val="1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1"/>
  </w:num>
  <w:num w:numId="11">
    <w:abstractNumId w:val="19"/>
  </w:num>
  <w:num w:numId="12">
    <w:abstractNumId w:val="17"/>
  </w:num>
  <w:num w:numId="13">
    <w:abstractNumId w:val="6"/>
  </w:num>
  <w:num w:numId="14">
    <w:abstractNumId w:val="21"/>
  </w:num>
  <w:num w:numId="15">
    <w:abstractNumId w:val="13"/>
  </w:num>
  <w:num w:numId="16">
    <w:abstractNumId w:val="14"/>
  </w:num>
  <w:num w:numId="17">
    <w:abstractNumId w:val="11"/>
  </w:num>
  <w:num w:numId="18">
    <w:abstractNumId w:val="15"/>
  </w:num>
  <w:num w:numId="19">
    <w:abstractNumId w:val="5"/>
  </w:num>
  <w:num w:numId="20">
    <w:abstractNumId w:val="12"/>
  </w:num>
  <w:num w:numId="21">
    <w:abstractNumId w:val="8"/>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41986"/>
  </w:hdrShapeDefaults>
  <w:footnotePr>
    <w:footnote w:id="0"/>
    <w:footnote w:id="1"/>
  </w:footnotePr>
  <w:endnotePr>
    <w:endnote w:id="0"/>
    <w:endnote w:id="1"/>
  </w:endnotePr>
  <w:compat/>
  <w:rsids>
    <w:rsidRoot w:val="0002004A"/>
    <w:rsid w:val="000119F9"/>
    <w:rsid w:val="0002004A"/>
    <w:rsid w:val="0002577B"/>
    <w:rsid w:val="000529E9"/>
    <w:rsid w:val="00056340"/>
    <w:rsid w:val="00061E09"/>
    <w:rsid w:val="000624D9"/>
    <w:rsid w:val="00064419"/>
    <w:rsid w:val="00096756"/>
    <w:rsid w:val="00096980"/>
    <w:rsid w:val="000A7C23"/>
    <w:rsid w:val="000B33F4"/>
    <w:rsid w:val="000B3B63"/>
    <w:rsid w:val="000C18C4"/>
    <w:rsid w:val="000D14C6"/>
    <w:rsid w:val="000D6A81"/>
    <w:rsid w:val="000F7C09"/>
    <w:rsid w:val="00104054"/>
    <w:rsid w:val="001101D8"/>
    <w:rsid w:val="00115470"/>
    <w:rsid w:val="00121E73"/>
    <w:rsid w:val="001272F1"/>
    <w:rsid w:val="00131377"/>
    <w:rsid w:val="0013417D"/>
    <w:rsid w:val="001369BA"/>
    <w:rsid w:val="0018075A"/>
    <w:rsid w:val="001854D6"/>
    <w:rsid w:val="00197EC3"/>
    <w:rsid w:val="001A2240"/>
    <w:rsid w:val="001A5832"/>
    <w:rsid w:val="001B0E84"/>
    <w:rsid w:val="001B3851"/>
    <w:rsid w:val="001B5EC1"/>
    <w:rsid w:val="001C1D82"/>
    <w:rsid w:val="001C60FE"/>
    <w:rsid w:val="001D739C"/>
    <w:rsid w:val="001F7DD4"/>
    <w:rsid w:val="00216290"/>
    <w:rsid w:val="002244A7"/>
    <w:rsid w:val="00227C8B"/>
    <w:rsid w:val="00242E76"/>
    <w:rsid w:val="002475FD"/>
    <w:rsid w:val="00247A51"/>
    <w:rsid w:val="002557D4"/>
    <w:rsid w:val="0025612C"/>
    <w:rsid w:val="00256161"/>
    <w:rsid w:val="00273AF5"/>
    <w:rsid w:val="00275452"/>
    <w:rsid w:val="00275711"/>
    <w:rsid w:val="0028545F"/>
    <w:rsid w:val="00293B04"/>
    <w:rsid w:val="002A21F0"/>
    <w:rsid w:val="002B4C78"/>
    <w:rsid w:val="002B5138"/>
    <w:rsid w:val="002B75B5"/>
    <w:rsid w:val="002C265A"/>
    <w:rsid w:val="002E42CC"/>
    <w:rsid w:val="002F1E2D"/>
    <w:rsid w:val="002F7EA7"/>
    <w:rsid w:val="00314926"/>
    <w:rsid w:val="003251C4"/>
    <w:rsid w:val="00330167"/>
    <w:rsid w:val="0035492D"/>
    <w:rsid w:val="00357D2E"/>
    <w:rsid w:val="00371BE3"/>
    <w:rsid w:val="00382F0A"/>
    <w:rsid w:val="00385D0C"/>
    <w:rsid w:val="00394C45"/>
    <w:rsid w:val="003A4C03"/>
    <w:rsid w:val="003B4645"/>
    <w:rsid w:val="003B6587"/>
    <w:rsid w:val="003C0DF0"/>
    <w:rsid w:val="003C0EA4"/>
    <w:rsid w:val="003C350E"/>
    <w:rsid w:val="003C4D6D"/>
    <w:rsid w:val="003F583B"/>
    <w:rsid w:val="00400611"/>
    <w:rsid w:val="00402142"/>
    <w:rsid w:val="00402FE2"/>
    <w:rsid w:val="00412D4F"/>
    <w:rsid w:val="00413EEF"/>
    <w:rsid w:val="004445B3"/>
    <w:rsid w:val="0045357F"/>
    <w:rsid w:val="00465838"/>
    <w:rsid w:val="00467806"/>
    <w:rsid w:val="00471FB9"/>
    <w:rsid w:val="00472BC2"/>
    <w:rsid w:val="0049594C"/>
    <w:rsid w:val="0049725B"/>
    <w:rsid w:val="004C2F8E"/>
    <w:rsid w:val="004C722C"/>
    <w:rsid w:val="004D07B4"/>
    <w:rsid w:val="004D618B"/>
    <w:rsid w:val="004E2041"/>
    <w:rsid w:val="004E4DD7"/>
    <w:rsid w:val="00502A00"/>
    <w:rsid w:val="005066CF"/>
    <w:rsid w:val="00546380"/>
    <w:rsid w:val="00557B25"/>
    <w:rsid w:val="005717CD"/>
    <w:rsid w:val="005772F9"/>
    <w:rsid w:val="00583919"/>
    <w:rsid w:val="00583E1B"/>
    <w:rsid w:val="0058554F"/>
    <w:rsid w:val="00592C93"/>
    <w:rsid w:val="00593E34"/>
    <w:rsid w:val="00594B5D"/>
    <w:rsid w:val="005C6455"/>
    <w:rsid w:val="005D116B"/>
    <w:rsid w:val="005F5D73"/>
    <w:rsid w:val="00600DA2"/>
    <w:rsid w:val="006107AA"/>
    <w:rsid w:val="006112EE"/>
    <w:rsid w:val="00611CA2"/>
    <w:rsid w:val="00665511"/>
    <w:rsid w:val="006821C4"/>
    <w:rsid w:val="006920EC"/>
    <w:rsid w:val="006928D5"/>
    <w:rsid w:val="00693274"/>
    <w:rsid w:val="006A4DC9"/>
    <w:rsid w:val="006B0167"/>
    <w:rsid w:val="006C128A"/>
    <w:rsid w:val="006C1E55"/>
    <w:rsid w:val="006D0BEC"/>
    <w:rsid w:val="006D2523"/>
    <w:rsid w:val="006D2AF5"/>
    <w:rsid w:val="006D2FE5"/>
    <w:rsid w:val="006D34B0"/>
    <w:rsid w:val="006D3CAC"/>
    <w:rsid w:val="006E7666"/>
    <w:rsid w:val="007043D6"/>
    <w:rsid w:val="00713CB5"/>
    <w:rsid w:val="00715DF6"/>
    <w:rsid w:val="00730DFB"/>
    <w:rsid w:val="00734E2B"/>
    <w:rsid w:val="00741001"/>
    <w:rsid w:val="0075083C"/>
    <w:rsid w:val="007543AE"/>
    <w:rsid w:val="00754BF9"/>
    <w:rsid w:val="00767C41"/>
    <w:rsid w:val="0077143C"/>
    <w:rsid w:val="00776763"/>
    <w:rsid w:val="00781E2F"/>
    <w:rsid w:val="0078655D"/>
    <w:rsid w:val="0078713A"/>
    <w:rsid w:val="00795516"/>
    <w:rsid w:val="007976F0"/>
    <w:rsid w:val="007A3742"/>
    <w:rsid w:val="007A7401"/>
    <w:rsid w:val="007B09FD"/>
    <w:rsid w:val="007B32AC"/>
    <w:rsid w:val="007E21EC"/>
    <w:rsid w:val="007E3EE0"/>
    <w:rsid w:val="00805D4A"/>
    <w:rsid w:val="00815D48"/>
    <w:rsid w:val="00823CDF"/>
    <w:rsid w:val="00824CA7"/>
    <w:rsid w:val="00835ADB"/>
    <w:rsid w:val="0083626A"/>
    <w:rsid w:val="00837B7E"/>
    <w:rsid w:val="00850EE6"/>
    <w:rsid w:val="0085546C"/>
    <w:rsid w:val="00861059"/>
    <w:rsid w:val="00865600"/>
    <w:rsid w:val="00871AF8"/>
    <w:rsid w:val="00880C16"/>
    <w:rsid w:val="00881AB1"/>
    <w:rsid w:val="0088671D"/>
    <w:rsid w:val="008974DE"/>
    <w:rsid w:val="008B2827"/>
    <w:rsid w:val="008C01EA"/>
    <w:rsid w:val="008D3DA8"/>
    <w:rsid w:val="008D610E"/>
    <w:rsid w:val="008D64EB"/>
    <w:rsid w:val="008F348E"/>
    <w:rsid w:val="008F4572"/>
    <w:rsid w:val="00905885"/>
    <w:rsid w:val="00905E9E"/>
    <w:rsid w:val="009113FB"/>
    <w:rsid w:val="00912042"/>
    <w:rsid w:val="00914943"/>
    <w:rsid w:val="00926C99"/>
    <w:rsid w:val="00927295"/>
    <w:rsid w:val="00937CFA"/>
    <w:rsid w:val="00937F78"/>
    <w:rsid w:val="0094782A"/>
    <w:rsid w:val="009502B3"/>
    <w:rsid w:val="00957177"/>
    <w:rsid w:val="009626E0"/>
    <w:rsid w:val="00972F1D"/>
    <w:rsid w:val="009833BC"/>
    <w:rsid w:val="009A1049"/>
    <w:rsid w:val="009A186D"/>
    <w:rsid w:val="009A2555"/>
    <w:rsid w:val="009B0AC2"/>
    <w:rsid w:val="009B13C7"/>
    <w:rsid w:val="009B2E17"/>
    <w:rsid w:val="009E0C2B"/>
    <w:rsid w:val="009F088A"/>
    <w:rsid w:val="009F17F5"/>
    <w:rsid w:val="009F5A97"/>
    <w:rsid w:val="00A036CE"/>
    <w:rsid w:val="00A06216"/>
    <w:rsid w:val="00A1621A"/>
    <w:rsid w:val="00A16980"/>
    <w:rsid w:val="00A22028"/>
    <w:rsid w:val="00A323F6"/>
    <w:rsid w:val="00A42C98"/>
    <w:rsid w:val="00A60F59"/>
    <w:rsid w:val="00A61E1D"/>
    <w:rsid w:val="00A67AB4"/>
    <w:rsid w:val="00A86473"/>
    <w:rsid w:val="00AA4BBC"/>
    <w:rsid w:val="00AA6047"/>
    <w:rsid w:val="00AA640A"/>
    <w:rsid w:val="00AA7CD0"/>
    <w:rsid w:val="00AA7F4A"/>
    <w:rsid w:val="00AC7FE1"/>
    <w:rsid w:val="00AD6450"/>
    <w:rsid w:val="00AE2991"/>
    <w:rsid w:val="00AF1F19"/>
    <w:rsid w:val="00AF6F9C"/>
    <w:rsid w:val="00B01F18"/>
    <w:rsid w:val="00B04BF2"/>
    <w:rsid w:val="00B13092"/>
    <w:rsid w:val="00B23D44"/>
    <w:rsid w:val="00B2428C"/>
    <w:rsid w:val="00B24695"/>
    <w:rsid w:val="00B32F6E"/>
    <w:rsid w:val="00B40EC2"/>
    <w:rsid w:val="00B74915"/>
    <w:rsid w:val="00B75F56"/>
    <w:rsid w:val="00B774F3"/>
    <w:rsid w:val="00B8076B"/>
    <w:rsid w:val="00BB4FD9"/>
    <w:rsid w:val="00BD2B4F"/>
    <w:rsid w:val="00BD2EC8"/>
    <w:rsid w:val="00BD42D5"/>
    <w:rsid w:val="00BE4745"/>
    <w:rsid w:val="00BE65E6"/>
    <w:rsid w:val="00BE702A"/>
    <w:rsid w:val="00BF1916"/>
    <w:rsid w:val="00BF2D0D"/>
    <w:rsid w:val="00C14936"/>
    <w:rsid w:val="00C24E28"/>
    <w:rsid w:val="00C30D8D"/>
    <w:rsid w:val="00C372B6"/>
    <w:rsid w:val="00C447C0"/>
    <w:rsid w:val="00C4672D"/>
    <w:rsid w:val="00C64CCC"/>
    <w:rsid w:val="00C75333"/>
    <w:rsid w:val="00C7725A"/>
    <w:rsid w:val="00C812D4"/>
    <w:rsid w:val="00C83443"/>
    <w:rsid w:val="00C95FE2"/>
    <w:rsid w:val="00CA0E0B"/>
    <w:rsid w:val="00CA5D4A"/>
    <w:rsid w:val="00CB2670"/>
    <w:rsid w:val="00CC0269"/>
    <w:rsid w:val="00CC2BC2"/>
    <w:rsid w:val="00CC7CDE"/>
    <w:rsid w:val="00CD1601"/>
    <w:rsid w:val="00CD3362"/>
    <w:rsid w:val="00D03C8E"/>
    <w:rsid w:val="00D13CFE"/>
    <w:rsid w:val="00D50036"/>
    <w:rsid w:val="00D53646"/>
    <w:rsid w:val="00D70A73"/>
    <w:rsid w:val="00D72D5F"/>
    <w:rsid w:val="00D86E8D"/>
    <w:rsid w:val="00D87DA8"/>
    <w:rsid w:val="00D9280F"/>
    <w:rsid w:val="00DA6635"/>
    <w:rsid w:val="00DA73E9"/>
    <w:rsid w:val="00DC368F"/>
    <w:rsid w:val="00DD3F0A"/>
    <w:rsid w:val="00DD5914"/>
    <w:rsid w:val="00DE2852"/>
    <w:rsid w:val="00DE58A7"/>
    <w:rsid w:val="00DE5EFE"/>
    <w:rsid w:val="00DF0B6D"/>
    <w:rsid w:val="00DF4554"/>
    <w:rsid w:val="00DF5E41"/>
    <w:rsid w:val="00DF7E38"/>
    <w:rsid w:val="00E1171D"/>
    <w:rsid w:val="00E14E5D"/>
    <w:rsid w:val="00E258B4"/>
    <w:rsid w:val="00E321F0"/>
    <w:rsid w:val="00E3268E"/>
    <w:rsid w:val="00E34ADA"/>
    <w:rsid w:val="00E35A43"/>
    <w:rsid w:val="00E35CB0"/>
    <w:rsid w:val="00E371DF"/>
    <w:rsid w:val="00E40874"/>
    <w:rsid w:val="00E4271A"/>
    <w:rsid w:val="00E533EF"/>
    <w:rsid w:val="00E64D8E"/>
    <w:rsid w:val="00E97D5E"/>
    <w:rsid w:val="00EA77F9"/>
    <w:rsid w:val="00EB3F78"/>
    <w:rsid w:val="00EC6180"/>
    <w:rsid w:val="00ED1A93"/>
    <w:rsid w:val="00ED2044"/>
    <w:rsid w:val="00ED2982"/>
    <w:rsid w:val="00ED2DC2"/>
    <w:rsid w:val="00EF2801"/>
    <w:rsid w:val="00F10896"/>
    <w:rsid w:val="00F15344"/>
    <w:rsid w:val="00F2128C"/>
    <w:rsid w:val="00F22805"/>
    <w:rsid w:val="00F23DF5"/>
    <w:rsid w:val="00F24037"/>
    <w:rsid w:val="00F35DBC"/>
    <w:rsid w:val="00F40F93"/>
    <w:rsid w:val="00F514C2"/>
    <w:rsid w:val="00F60B4C"/>
    <w:rsid w:val="00F62613"/>
    <w:rsid w:val="00F701A6"/>
    <w:rsid w:val="00F72E22"/>
    <w:rsid w:val="00F76DBD"/>
    <w:rsid w:val="00F82076"/>
    <w:rsid w:val="00FB1985"/>
    <w:rsid w:val="00FC0663"/>
    <w:rsid w:val="00FC09DC"/>
    <w:rsid w:val="00FC7079"/>
    <w:rsid w:val="00FD5058"/>
    <w:rsid w:val="00FD75BA"/>
    <w:rsid w:val="00FE0BAF"/>
    <w:rsid w:val="00FE4999"/>
    <w:rsid w:val="00FF733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04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C0DF0"/>
    <w:pPr>
      <w:keepNext/>
      <w:spacing w:before="240" w:after="60" w:line="259" w:lineRule="auto"/>
      <w:outlineLvl w:val="0"/>
    </w:pPr>
    <w:rPr>
      <w:rFonts w:ascii="Cambria" w:hAnsi="Cambria"/>
      <w:b/>
      <w:bCs/>
      <w:kern w:val="32"/>
      <w:sz w:val="32"/>
      <w:szCs w:val="32"/>
      <w:lang w:eastAsia="en-US"/>
    </w:rPr>
  </w:style>
  <w:style w:type="paragraph" w:styleId="Ttulo4">
    <w:name w:val="heading 4"/>
    <w:basedOn w:val="Normal"/>
    <w:next w:val="Normal"/>
    <w:link w:val="Ttulo4Char"/>
    <w:uiPriority w:val="9"/>
    <w:semiHidden/>
    <w:unhideWhenUsed/>
    <w:qFormat/>
    <w:rsid w:val="009F088A"/>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1"/>
    <w:uiPriority w:val="1"/>
    <w:qFormat/>
    <w:rsid w:val="0002004A"/>
    <w:pPr>
      <w:jc w:val="both"/>
    </w:pPr>
    <w:rPr>
      <w:rFonts w:ascii="Arial" w:hAnsi="Arial" w:cs="Arial"/>
    </w:rPr>
  </w:style>
  <w:style w:type="character" w:customStyle="1" w:styleId="CorpodetextoChar">
    <w:name w:val="Corpo de texto Char"/>
    <w:basedOn w:val="Fontepargpadro"/>
    <w:uiPriority w:val="99"/>
    <w:semiHidden/>
    <w:rsid w:val="0002004A"/>
    <w:rPr>
      <w:rFonts w:ascii="Times New Roman" w:eastAsia="Times New Roman" w:hAnsi="Times New Roman" w:cs="Times New Roman"/>
      <w:sz w:val="24"/>
      <w:szCs w:val="24"/>
      <w:lang w:eastAsia="pt-BR"/>
    </w:rPr>
  </w:style>
  <w:style w:type="character" w:customStyle="1" w:styleId="CorpodetextoChar1">
    <w:name w:val="Corpo de texto Char1"/>
    <w:link w:val="Corpodetexto"/>
    <w:rsid w:val="0002004A"/>
    <w:rPr>
      <w:rFonts w:ascii="Arial" w:eastAsia="Times New Roman" w:hAnsi="Arial" w:cs="Arial"/>
      <w:sz w:val="24"/>
      <w:szCs w:val="24"/>
      <w:lang w:eastAsia="pt-BR"/>
    </w:rPr>
  </w:style>
  <w:style w:type="paragraph" w:styleId="NormalWeb">
    <w:name w:val="Normal (Web)"/>
    <w:basedOn w:val="Normal"/>
    <w:uiPriority w:val="99"/>
    <w:unhideWhenUsed/>
    <w:rsid w:val="0002004A"/>
    <w:pPr>
      <w:spacing w:before="100" w:beforeAutospacing="1" w:after="100" w:afterAutospacing="1"/>
    </w:pPr>
  </w:style>
  <w:style w:type="paragraph" w:styleId="Cabealho">
    <w:name w:val="header"/>
    <w:aliases w:val=" Char,Char,hd,he"/>
    <w:basedOn w:val="Normal"/>
    <w:link w:val="CabealhoChar"/>
    <w:uiPriority w:val="99"/>
    <w:unhideWhenUsed/>
    <w:rsid w:val="0002004A"/>
    <w:pPr>
      <w:tabs>
        <w:tab w:val="center" w:pos="4252"/>
        <w:tab w:val="right" w:pos="8504"/>
      </w:tabs>
    </w:pPr>
  </w:style>
  <w:style w:type="character" w:customStyle="1" w:styleId="CabealhoChar">
    <w:name w:val="Cabeçalho Char"/>
    <w:aliases w:val=" Char Char,Char Char,hd Char,he Char"/>
    <w:basedOn w:val="Fontepargpadro"/>
    <w:link w:val="Cabealho"/>
    <w:uiPriority w:val="99"/>
    <w:rsid w:val="0002004A"/>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02004A"/>
    <w:pPr>
      <w:tabs>
        <w:tab w:val="center" w:pos="4252"/>
        <w:tab w:val="right" w:pos="8504"/>
      </w:tabs>
    </w:pPr>
  </w:style>
  <w:style w:type="character" w:customStyle="1" w:styleId="RodapChar">
    <w:name w:val="Rodapé Char"/>
    <w:basedOn w:val="Fontepargpadro"/>
    <w:link w:val="Rodap"/>
    <w:uiPriority w:val="99"/>
    <w:rsid w:val="0002004A"/>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02004A"/>
    <w:rPr>
      <w:rFonts w:ascii="Tahoma" w:hAnsi="Tahoma" w:cs="Tahoma"/>
      <w:sz w:val="16"/>
      <w:szCs w:val="16"/>
    </w:rPr>
  </w:style>
  <w:style w:type="character" w:customStyle="1" w:styleId="TextodebaloChar">
    <w:name w:val="Texto de balão Char"/>
    <w:basedOn w:val="Fontepargpadro"/>
    <w:link w:val="Textodebalo"/>
    <w:uiPriority w:val="99"/>
    <w:semiHidden/>
    <w:rsid w:val="0002004A"/>
    <w:rPr>
      <w:rFonts w:ascii="Tahoma" w:eastAsia="Times New Roman" w:hAnsi="Tahoma" w:cs="Tahoma"/>
      <w:sz w:val="16"/>
      <w:szCs w:val="16"/>
      <w:lang w:eastAsia="pt-BR"/>
    </w:rPr>
  </w:style>
  <w:style w:type="paragraph" w:customStyle="1" w:styleId="Default">
    <w:name w:val="Default"/>
    <w:rsid w:val="00B24695"/>
    <w:pPr>
      <w:autoSpaceDE w:val="0"/>
      <w:autoSpaceDN w:val="0"/>
      <w:adjustRightInd w:val="0"/>
      <w:spacing w:after="0" w:line="240" w:lineRule="auto"/>
    </w:pPr>
    <w:rPr>
      <w:rFonts w:ascii="Verdana" w:eastAsia="Times New Roman" w:hAnsi="Verdana" w:cs="Verdana"/>
      <w:color w:val="000000"/>
      <w:sz w:val="24"/>
      <w:szCs w:val="24"/>
      <w:lang w:eastAsia="pt-BR"/>
    </w:rPr>
  </w:style>
  <w:style w:type="paragraph" w:styleId="PargrafodaLista">
    <w:name w:val="List Paragraph"/>
    <w:basedOn w:val="Normal"/>
    <w:qFormat/>
    <w:rsid w:val="00BE65E6"/>
    <w:pPr>
      <w:ind w:left="720"/>
      <w:contextualSpacing/>
    </w:pPr>
  </w:style>
  <w:style w:type="character" w:customStyle="1" w:styleId="Ttulo1Char">
    <w:name w:val="Título 1 Char"/>
    <w:basedOn w:val="Fontepargpadro"/>
    <w:link w:val="Ttulo1"/>
    <w:uiPriority w:val="9"/>
    <w:rsid w:val="003C0DF0"/>
    <w:rPr>
      <w:rFonts w:ascii="Cambria" w:eastAsia="Times New Roman" w:hAnsi="Cambria" w:cs="Times New Roman"/>
      <w:b/>
      <w:bCs/>
      <w:kern w:val="32"/>
      <w:sz w:val="32"/>
      <w:szCs w:val="32"/>
    </w:rPr>
  </w:style>
  <w:style w:type="table" w:customStyle="1" w:styleId="TableNormal">
    <w:name w:val="Table Normal"/>
    <w:uiPriority w:val="2"/>
    <w:semiHidden/>
    <w:unhideWhenUsed/>
    <w:qFormat/>
    <w:rsid w:val="00AA7F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A7F4A"/>
    <w:pPr>
      <w:widowControl w:val="0"/>
      <w:autoSpaceDE w:val="0"/>
      <w:autoSpaceDN w:val="0"/>
    </w:pPr>
    <w:rPr>
      <w:rFonts w:ascii="Calibri" w:eastAsia="Calibri" w:hAnsi="Calibri" w:cs="Calibri"/>
      <w:sz w:val="22"/>
      <w:szCs w:val="22"/>
      <w:lang w:val="pt-PT" w:eastAsia="en-US"/>
    </w:rPr>
  </w:style>
  <w:style w:type="character" w:customStyle="1" w:styleId="Ttulo4Char">
    <w:name w:val="Título 4 Char"/>
    <w:basedOn w:val="Fontepargpadro"/>
    <w:link w:val="Ttulo4"/>
    <w:uiPriority w:val="9"/>
    <w:semiHidden/>
    <w:rsid w:val="009F088A"/>
    <w:rPr>
      <w:rFonts w:asciiTheme="majorHAnsi" w:eastAsiaTheme="majorEastAsia" w:hAnsiTheme="majorHAnsi" w:cstheme="majorBidi"/>
      <w:b/>
      <w:bCs/>
      <w:i/>
      <w:iCs/>
      <w:color w:val="4F81BD" w:themeColor="accent1"/>
      <w:sz w:val="24"/>
      <w:szCs w:val="24"/>
      <w:lang w:eastAsia="pt-BR"/>
    </w:rPr>
  </w:style>
  <w:style w:type="paragraph" w:customStyle="1" w:styleId="Standard">
    <w:name w:val="Standard"/>
    <w:rsid w:val="009F088A"/>
    <w:pPr>
      <w:widowControl w:val="0"/>
      <w:suppressAutoHyphens/>
      <w:autoSpaceDN w:val="0"/>
      <w:spacing w:after="0" w:line="240" w:lineRule="auto"/>
    </w:pPr>
    <w:rPr>
      <w:rFonts w:ascii="Times New Roman" w:eastAsia="Arial Unicode MS" w:hAnsi="Times New Roman" w:cs="Tahoma"/>
      <w:kern w:val="3"/>
      <w:sz w:val="24"/>
      <w:szCs w:val="24"/>
      <w:lang w:eastAsia="pt-BR"/>
    </w:rPr>
  </w:style>
  <w:style w:type="paragraph" w:customStyle="1" w:styleId="m-1299075311321444052gmail-msonospacing">
    <w:name w:val="m_-1299075311321444052gmail-msonospacing"/>
    <w:basedOn w:val="Normal"/>
    <w:rsid w:val="005F5D73"/>
    <w:pPr>
      <w:spacing w:before="100" w:beforeAutospacing="1" w:after="100" w:afterAutospacing="1"/>
    </w:pPr>
  </w:style>
  <w:style w:type="character" w:styleId="Hyperlink">
    <w:name w:val="Hyperlink"/>
    <w:basedOn w:val="Fontepargpadro"/>
    <w:uiPriority w:val="99"/>
    <w:unhideWhenUsed/>
    <w:rsid w:val="00CC0269"/>
    <w:rPr>
      <w:color w:val="0000FF" w:themeColor="hyperlink"/>
      <w:u w:val="single"/>
    </w:rPr>
  </w:style>
  <w:style w:type="table" w:styleId="Tabelacomgrade">
    <w:name w:val="Table Grid"/>
    <w:basedOn w:val="Tabelanormal"/>
    <w:uiPriority w:val="39"/>
    <w:rsid w:val="0077143C"/>
    <w:pPr>
      <w:spacing w:after="0" w:line="240" w:lineRule="auto"/>
    </w:pPr>
    <w:rPr>
      <w:rFonts w:ascii="Arial"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justificado">
    <w:name w:val="texto_justificado"/>
    <w:basedOn w:val="Normal"/>
    <w:rsid w:val="000119F9"/>
    <w:pPr>
      <w:spacing w:before="100" w:beforeAutospacing="1" w:after="100" w:afterAutospacing="1"/>
    </w:pPr>
  </w:style>
  <w:style w:type="character" w:styleId="Forte">
    <w:name w:val="Strong"/>
    <w:basedOn w:val="Fontepargpadro"/>
    <w:uiPriority w:val="22"/>
    <w:qFormat/>
    <w:rsid w:val="001B5EC1"/>
    <w:rPr>
      <w:b/>
      <w:bCs/>
    </w:rPr>
  </w:style>
  <w:style w:type="paragraph" w:customStyle="1" w:styleId="textocentralizado">
    <w:name w:val="texto_centralizado"/>
    <w:basedOn w:val="Normal"/>
    <w:rsid w:val="001B5EC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04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C0DF0"/>
    <w:pPr>
      <w:keepNext/>
      <w:spacing w:before="240" w:after="60" w:line="259" w:lineRule="auto"/>
      <w:outlineLvl w:val="0"/>
    </w:pPr>
    <w:rPr>
      <w:rFonts w:ascii="Cambria" w:hAnsi="Cambria"/>
      <w:b/>
      <w:bCs/>
      <w:kern w:val="32"/>
      <w:sz w:val="32"/>
      <w:szCs w:val="32"/>
      <w:lang w:eastAsia="en-US"/>
    </w:rPr>
  </w:style>
  <w:style w:type="paragraph" w:styleId="Ttulo4">
    <w:name w:val="heading 4"/>
    <w:basedOn w:val="Normal"/>
    <w:next w:val="Normal"/>
    <w:link w:val="Ttulo4Char"/>
    <w:uiPriority w:val="9"/>
    <w:semiHidden/>
    <w:unhideWhenUsed/>
    <w:qFormat/>
    <w:rsid w:val="009F088A"/>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1"/>
    <w:rsid w:val="0002004A"/>
    <w:pPr>
      <w:jc w:val="both"/>
    </w:pPr>
    <w:rPr>
      <w:rFonts w:ascii="Arial" w:hAnsi="Arial" w:cs="Arial"/>
    </w:rPr>
  </w:style>
  <w:style w:type="character" w:customStyle="1" w:styleId="CorpodetextoChar">
    <w:name w:val="Corpo de texto Char"/>
    <w:basedOn w:val="Fontepargpadro"/>
    <w:uiPriority w:val="99"/>
    <w:semiHidden/>
    <w:rsid w:val="0002004A"/>
    <w:rPr>
      <w:rFonts w:ascii="Times New Roman" w:eastAsia="Times New Roman" w:hAnsi="Times New Roman" w:cs="Times New Roman"/>
      <w:sz w:val="24"/>
      <w:szCs w:val="24"/>
      <w:lang w:eastAsia="pt-BR"/>
    </w:rPr>
  </w:style>
  <w:style w:type="character" w:customStyle="1" w:styleId="CorpodetextoChar1">
    <w:name w:val="Corpo de texto Char1"/>
    <w:link w:val="Corpodetexto"/>
    <w:rsid w:val="0002004A"/>
    <w:rPr>
      <w:rFonts w:ascii="Arial" w:eastAsia="Times New Roman" w:hAnsi="Arial" w:cs="Arial"/>
      <w:sz w:val="24"/>
      <w:szCs w:val="24"/>
      <w:lang w:eastAsia="pt-BR"/>
    </w:rPr>
  </w:style>
  <w:style w:type="paragraph" w:styleId="NormalWeb">
    <w:name w:val="Normal (Web)"/>
    <w:basedOn w:val="Normal"/>
    <w:uiPriority w:val="99"/>
    <w:unhideWhenUsed/>
    <w:rsid w:val="0002004A"/>
    <w:pPr>
      <w:spacing w:before="100" w:beforeAutospacing="1" w:after="100" w:afterAutospacing="1"/>
    </w:pPr>
  </w:style>
  <w:style w:type="paragraph" w:styleId="Cabealho">
    <w:name w:val="header"/>
    <w:aliases w:val=" Char,Char,hd,he"/>
    <w:basedOn w:val="Normal"/>
    <w:link w:val="CabealhoChar"/>
    <w:uiPriority w:val="99"/>
    <w:unhideWhenUsed/>
    <w:rsid w:val="0002004A"/>
    <w:pPr>
      <w:tabs>
        <w:tab w:val="center" w:pos="4252"/>
        <w:tab w:val="right" w:pos="8504"/>
      </w:tabs>
    </w:pPr>
  </w:style>
  <w:style w:type="character" w:customStyle="1" w:styleId="CabealhoChar">
    <w:name w:val="Cabeçalho Char"/>
    <w:aliases w:val=" Char Char,Char Char,hd Char,he Char"/>
    <w:basedOn w:val="Fontepargpadro"/>
    <w:link w:val="Cabealho"/>
    <w:uiPriority w:val="99"/>
    <w:rsid w:val="0002004A"/>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02004A"/>
    <w:pPr>
      <w:tabs>
        <w:tab w:val="center" w:pos="4252"/>
        <w:tab w:val="right" w:pos="8504"/>
      </w:tabs>
    </w:pPr>
  </w:style>
  <w:style w:type="character" w:customStyle="1" w:styleId="RodapChar">
    <w:name w:val="Rodapé Char"/>
    <w:basedOn w:val="Fontepargpadro"/>
    <w:link w:val="Rodap"/>
    <w:uiPriority w:val="99"/>
    <w:rsid w:val="0002004A"/>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02004A"/>
    <w:rPr>
      <w:rFonts w:ascii="Tahoma" w:hAnsi="Tahoma" w:cs="Tahoma"/>
      <w:sz w:val="16"/>
      <w:szCs w:val="16"/>
    </w:rPr>
  </w:style>
  <w:style w:type="character" w:customStyle="1" w:styleId="TextodebaloChar">
    <w:name w:val="Texto de balão Char"/>
    <w:basedOn w:val="Fontepargpadro"/>
    <w:link w:val="Textodebalo"/>
    <w:uiPriority w:val="99"/>
    <w:semiHidden/>
    <w:rsid w:val="0002004A"/>
    <w:rPr>
      <w:rFonts w:ascii="Tahoma" w:eastAsia="Times New Roman" w:hAnsi="Tahoma" w:cs="Tahoma"/>
      <w:sz w:val="16"/>
      <w:szCs w:val="16"/>
      <w:lang w:eastAsia="pt-BR"/>
    </w:rPr>
  </w:style>
  <w:style w:type="paragraph" w:customStyle="1" w:styleId="Default">
    <w:name w:val="Default"/>
    <w:rsid w:val="00B24695"/>
    <w:pPr>
      <w:autoSpaceDE w:val="0"/>
      <w:autoSpaceDN w:val="0"/>
      <w:adjustRightInd w:val="0"/>
      <w:spacing w:after="0" w:line="240" w:lineRule="auto"/>
    </w:pPr>
    <w:rPr>
      <w:rFonts w:ascii="Verdana" w:eastAsia="Times New Roman" w:hAnsi="Verdana" w:cs="Verdana"/>
      <w:color w:val="000000"/>
      <w:sz w:val="24"/>
      <w:szCs w:val="24"/>
      <w:lang w:eastAsia="pt-BR"/>
    </w:rPr>
  </w:style>
  <w:style w:type="paragraph" w:styleId="PargrafodaLista">
    <w:name w:val="List Paragraph"/>
    <w:basedOn w:val="Normal"/>
    <w:qFormat/>
    <w:rsid w:val="00BE65E6"/>
    <w:pPr>
      <w:ind w:left="720"/>
      <w:contextualSpacing/>
    </w:pPr>
  </w:style>
  <w:style w:type="character" w:customStyle="1" w:styleId="Ttulo1Char">
    <w:name w:val="Título 1 Char"/>
    <w:basedOn w:val="Fontepargpadro"/>
    <w:link w:val="Ttulo1"/>
    <w:uiPriority w:val="9"/>
    <w:rsid w:val="003C0DF0"/>
    <w:rPr>
      <w:rFonts w:ascii="Cambria" w:eastAsia="Times New Roman" w:hAnsi="Cambria" w:cs="Times New Roman"/>
      <w:b/>
      <w:bCs/>
      <w:kern w:val="32"/>
      <w:sz w:val="32"/>
      <w:szCs w:val="32"/>
    </w:rPr>
  </w:style>
  <w:style w:type="table" w:customStyle="1" w:styleId="TableNormal">
    <w:name w:val="Table Normal"/>
    <w:uiPriority w:val="2"/>
    <w:semiHidden/>
    <w:unhideWhenUsed/>
    <w:qFormat/>
    <w:rsid w:val="00AA7F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A7F4A"/>
    <w:pPr>
      <w:widowControl w:val="0"/>
      <w:autoSpaceDE w:val="0"/>
      <w:autoSpaceDN w:val="0"/>
    </w:pPr>
    <w:rPr>
      <w:rFonts w:ascii="Calibri" w:eastAsia="Calibri" w:hAnsi="Calibri" w:cs="Calibri"/>
      <w:sz w:val="22"/>
      <w:szCs w:val="22"/>
      <w:lang w:val="pt-PT" w:eastAsia="en-US"/>
    </w:rPr>
  </w:style>
  <w:style w:type="character" w:customStyle="1" w:styleId="Ttulo4Char">
    <w:name w:val="Título 4 Char"/>
    <w:basedOn w:val="Fontepargpadro"/>
    <w:link w:val="Ttulo4"/>
    <w:uiPriority w:val="9"/>
    <w:semiHidden/>
    <w:rsid w:val="009F088A"/>
    <w:rPr>
      <w:rFonts w:asciiTheme="majorHAnsi" w:eastAsiaTheme="majorEastAsia" w:hAnsiTheme="majorHAnsi" w:cstheme="majorBidi"/>
      <w:b/>
      <w:bCs/>
      <w:i/>
      <w:iCs/>
      <w:color w:val="4F81BD" w:themeColor="accent1"/>
      <w:sz w:val="24"/>
      <w:szCs w:val="24"/>
      <w:lang w:eastAsia="pt-BR"/>
    </w:rPr>
  </w:style>
  <w:style w:type="paragraph" w:customStyle="1" w:styleId="Standard">
    <w:name w:val="Standard"/>
    <w:rsid w:val="009F088A"/>
    <w:pPr>
      <w:widowControl w:val="0"/>
      <w:suppressAutoHyphens/>
      <w:autoSpaceDN w:val="0"/>
      <w:spacing w:after="0" w:line="240" w:lineRule="auto"/>
    </w:pPr>
    <w:rPr>
      <w:rFonts w:ascii="Times New Roman" w:eastAsia="Arial Unicode MS" w:hAnsi="Times New Roman" w:cs="Tahoma"/>
      <w:kern w:val="3"/>
      <w:sz w:val="24"/>
      <w:szCs w:val="24"/>
      <w:lang w:eastAsia="pt-BR"/>
    </w:rPr>
  </w:style>
  <w:style w:type="paragraph" w:customStyle="1" w:styleId="m-1299075311321444052gmail-msonospacing">
    <w:name w:val="m_-1299075311321444052gmail-msonospacing"/>
    <w:basedOn w:val="Normal"/>
    <w:rsid w:val="005F5D73"/>
    <w:pPr>
      <w:spacing w:before="100" w:beforeAutospacing="1" w:after="100" w:afterAutospacing="1"/>
    </w:pPr>
  </w:style>
  <w:style w:type="character" w:styleId="Hyperlink">
    <w:name w:val="Hyperlink"/>
    <w:basedOn w:val="Fontepargpadro"/>
    <w:uiPriority w:val="99"/>
    <w:unhideWhenUsed/>
    <w:rsid w:val="00CC0269"/>
    <w:rPr>
      <w:color w:val="0000FF" w:themeColor="hyperlink"/>
      <w:u w:val="single"/>
    </w:rPr>
  </w:style>
  <w:style w:type="table" w:styleId="Tabelacomgrade">
    <w:name w:val="Table Grid"/>
    <w:basedOn w:val="Tabelanormal"/>
    <w:uiPriority w:val="39"/>
    <w:rsid w:val="0077143C"/>
    <w:pPr>
      <w:spacing w:after="0" w:line="240" w:lineRule="auto"/>
    </w:pPr>
    <w:rPr>
      <w:rFonts w:ascii="Arial"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6511310">
      <w:bodyDiv w:val="1"/>
      <w:marLeft w:val="0"/>
      <w:marRight w:val="0"/>
      <w:marTop w:val="0"/>
      <w:marBottom w:val="0"/>
      <w:divBdr>
        <w:top w:val="none" w:sz="0" w:space="0" w:color="auto"/>
        <w:left w:val="none" w:sz="0" w:space="0" w:color="auto"/>
        <w:bottom w:val="none" w:sz="0" w:space="0" w:color="auto"/>
        <w:right w:val="none" w:sz="0" w:space="0" w:color="auto"/>
      </w:divBdr>
    </w:div>
    <w:div w:id="107354404">
      <w:bodyDiv w:val="1"/>
      <w:marLeft w:val="0"/>
      <w:marRight w:val="0"/>
      <w:marTop w:val="0"/>
      <w:marBottom w:val="0"/>
      <w:divBdr>
        <w:top w:val="none" w:sz="0" w:space="0" w:color="auto"/>
        <w:left w:val="none" w:sz="0" w:space="0" w:color="auto"/>
        <w:bottom w:val="none" w:sz="0" w:space="0" w:color="auto"/>
        <w:right w:val="none" w:sz="0" w:space="0" w:color="auto"/>
      </w:divBdr>
    </w:div>
    <w:div w:id="575357462">
      <w:bodyDiv w:val="1"/>
      <w:marLeft w:val="0"/>
      <w:marRight w:val="0"/>
      <w:marTop w:val="0"/>
      <w:marBottom w:val="0"/>
      <w:divBdr>
        <w:top w:val="none" w:sz="0" w:space="0" w:color="auto"/>
        <w:left w:val="none" w:sz="0" w:space="0" w:color="auto"/>
        <w:bottom w:val="none" w:sz="0" w:space="0" w:color="auto"/>
        <w:right w:val="none" w:sz="0" w:space="0" w:color="auto"/>
      </w:divBdr>
    </w:div>
    <w:div w:id="740979854">
      <w:bodyDiv w:val="1"/>
      <w:marLeft w:val="0"/>
      <w:marRight w:val="0"/>
      <w:marTop w:val="0"/>
      <w:marBottom w:val="0"/>
      <w:divBdr>
        <w:top w:val="none" w:sz="0" w:space="0" w:color="auto"/>
        <w:left w:val="none" w:sz="0" w:space="0" w:color="auto"/>
        <w:bottom w:val="none" w:sz="0" w:space="0" w:color="auto"/>
        <w:right w:val="none" w:sz="0" w:space="0" w:color="auto"/>
      </w:divBdr>
    </w:div>
    <w:div w:id="964895354">
      <w:bodyDiv w:val="1"/>
      <w:marLeft w:val="0"/>
      <w:marRight w:val="0"/>
      <w:marTop w:val="0"/>
      <w:marBottom w:val="0"/>
      <w:divBdr>
        <w:top w:val="none" w:sz="0" w:space="0" w:color="auto"/>
        <w:left w:val="none" w:sz="0" w:space="0" w:color="auto"/>
        <w:bottom w:val="none" w:sz="0" w:space="0" w:color="auto"/>
        <w:right w:val="none" w:sz="0" w:space="0" w:color="auto"/>
      </w:divBdr>
    </w:div>
    <w:div w:id="985158947">
      <w:bodyDiv w:val="1"/>
      <w:marLeft w:val="0"/>
      <w:marRight w:val="0"/>
      <w:marTop w:val="0"/>
      <w:marBottom w:val="0"/>
      <w:divBdr>
        <w:top w:val="none" w:sz="0" w:space="0" w:color="auto"/>
        <w:left w:val="none" w:sz="0" w:space="0" w:color="auto"/>
        <w:bottom w:val="none" w:sz="0" w:space="0" w:color="auto"/>
        <w:right w:val="none" w:sz="0" w:space="0" w:color="auto"/>
      </w:divBdr>
    </w:div>
    <w:div w:id="1222205012">
      <w:bodyDiv w:val="1"/>
      <w:marLeft w:val="0"/>
      <w:marRight w:val="0"/>
      <w:marTop w:val="0"/>
      <w:marBottom w:val="0"/>
      <w:divBdr>
        <w:top w:val="none" w:sz="0" w:space="0" w:color="auto"/>
        <w:left w:val="none" w:sz="0" w:space="0" w:color="auto"/>
        <w:bottom w:val="none" w:sz="0" w:space="0" w:color="auto"/>
        <w:right w:val="none" w:sz="0" w:space="0" w:color="auto"/>
      </w:divBdr>
    </w:div>
    <w:div w:id="1271937373">
      <w:bodyDiv w:val="1"/>
      <w:marLeft w:val="0"/>
      <w:marRight w:val="0"/>
      <w:marTop w:val="0"/>
      <w:marBottom w:val="0"/>
      <w:divBdr>
        <w:top w:val="none" w:sz="0" w:space="0" w:color="auto"/>
        <w:left w:val="none" w:sz="0" w:space="0" w:color="auto"/>
        <w:bottom w:val="none" w:sz="0" w:space="0" w:color="auto"/>
        <w:right w:val="none" w:sz="0" w:space="0" w:color="auto"/>
      </w:divBdr>
    </w:div>
    <w:div w:id="176274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ltura_afranio@outlook.com" TargetMode="External"/><Relationship Id="rId13" Type="http://schemas.openxmlformats.org/officeDocument/2006/relationships/hyperlink" Target="https://afranio.pe.gov.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franiolpg@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br/pt-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lanalto.gov.br/ccivil_03/_Ato2015-2018/2015/Lei/L13146.htm"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planalto.gov.br/ccivil_03/Constituicao/Constituicao.htm" TargetMode="External"/><Relationship Id="rId14" Type="http://schemas.openxmlformats.org/officeDocument/2006/relationships/hyperlink" Target="mailto:afraniolpg@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E1C74-FDF1-4212-A8B6-18B16E39A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3046</Words>
  <Characters>16449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PMA COMPRAS</dc:creator>
  <cp:lastModifiedBy>Adaianne Macedo Gomes</cp:lastModifiedBy>
  <cp:revision>4</cp:revision>
  <cp:lastPrinted>2024-06-03T19:40:00Z</cp:lastPrinted>
  <dcterms:created xsi:type="dcterms:W3CDTF">2024-07-02T21:38:00Z</dcterms:created>
  <dcterms:modified xsi:type="dcterms:W3CDTF">2024-07-04T00:40:00Z</dcterms:modified>
</cp:coreProperties>
</file>